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jc w:val="center"/>
        <w:spacing w:before="120" w:after="120" w:line="360" w:lineRule="auto"/>
        <w:tabs>
          <w:tab w:val="left" w:pos="2272" w:leader="none"/>
        </w:tabs>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项目名称：南通职业大学钟秀校区课桌椅采购项目</w:t>
      </w:r>
      <w:r>
        <w:rPr>
          <w:rFonts w:hint="eastAsia" w:ascii="Arial" w:hAnsi="Arial"/>
          <w:b/>
          <w:bCs/>
          <w:color w:val="auto"/>
          <w:sz w:val="32"/>
          <w:szCs w:val="24"/>
          <w:highlight w:val="none"/>
          <w:lang w:eastAsia="zh-CN"/>
        </w:rPr>
        <w:t xml:space="preserve">（</w:t>
      </w:r>
      <w:r>
        <w:rPr>
          <w:rFonts w:hint="eastAsia" w:ascii="Arial" w:hAnsi="Arial"/>
          <w:b/>
          <w:bCs/>
          <w:color w:val="auto"/>
          <w:sz w:val="32"/>
          <w:szCs w:val="24"/>
          <w:highlight w:val="none"/>
          <w:lang w:val="en-US" w:eastAsia="zh-CN"/>
        </w:rPr>
        <w:t xml:space="preserve">重新采购</w:t>
      </w:r>
      <w:r>
        <w:rPr>
          <w:rFonts w:hint="eastAsia" w:ascii="Arial" w:hAnsi="Arial"/>
          <w:b/>
          <w:bCs/>
          <w:color w:val="auto"/>
          <w:sz w:val="32"/>
          <w:szCs w:val="24"/>
          <w:highlight w:val="none"/>
          <w:lang w:eastAsia="zh-CN"/>
        </w:rPr>
        <w:t xml:space="preserve">）</w:t>
      </w:r>
      <w:r/>
    </w:p>
    <w:p>
      <w:pPr>
        <w:jc w:val="center"/>
        <w:spacing w:before="120" w:after="120" w:line="360" w:lineRule="auto"/>
        <w:rPr>
          <w:rFonts w:hint="eastAsia" w:eastAsia="宋体"/>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JSZC-320600-JZCG-G2025-0217</w:t>
      </w:r>
      <w:r/>
    </w:p>
    <w:p>
      <w:pPr>
        <w:ind w:left="3012" w:hanging="3012"/>
        <w:rPr>
          <w:b/>
          <w:color w:val="auto"/>
          <w:sz w:val="30"/>
          <w:szCs w:val="30"/>
          <w:highlight w:val="none"/>
        </w:rPr>
      </w:pPr>
      <w:r>
        <w:rPr>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2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pStyle w:val="927"/>
        <w:ind w:firstLine="0"/>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南通市公共资源交易中心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（南通市政府采购中心）</w:t>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2025年12月</w:t>
      </w:r>
      <w:r/>
    </w:p>
    <w:p>
      <w:pPr>
        <w:jc w:val="left"/>
        <w:spacing w:before="120" w:after="120" w:line="360" w:lineRule="auto"/>
        <w:rPr>
          <w:rFonts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ascii="Arial" w:hAnsi="Arial"/>
          <w:color w:val="auto"/>
          <w:sz w:val="24"/>
          <w:szCs w:val="24"/>
          <w:highlight w:val="none"/>
        </w:rPr>
      </w:pPr>
      <w:r>
        <w:rPr>
          <w:rFonts w:ascii="Arial" w:hAnsi="Arial"/>
          <w:color w:val="auto"/>
          <w:sz w:val="24"/>
          <w:szCs w:val="24"/>
          <w:highlight w:val="none"/>
        </w:rPr>
      </w:r>
      <w:r/>
    </w:p>
    <w:p>
      <w:pPr>
        <w:jc w:val="center"/>
        <w:spacing w:line="480" w:lineRule="auto"/>
        <w:rPr>
          <w:rFonts w:ascii="黑体" w:hAnsi="Arial" w:eastAsia="黑体"/>
          <w:b/>
          <w:color w:val="auto"/>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16938516"/>
      <w:r/>
      <w:bookmarkStart w:id="2" w:name="_Toc20823272"/>
      <w:r/>
      <w:bookmarkStart w:id="3" w:name="_Toc523127445"/>
      <w:r/>
      <w:bookmarkStart w:id="4" w:name="_Toc479757206"/>
      <w:r/>
      <w:bookmarkStart w:id="5" w:name="_Toc513029200"/>
      <w:r/>
      <w:r/>
    </w:p>
    <w:p>
      <w:pPr>
        <w:jc w:val="center"/>
        <w:spacing w:line="480" w:lineRule="auto"/>
        <w:rPr>
          <w:rFonts w:ascii="黑体" w:hAnsi="Arial" w:eastAsia="黑体"/>
          <w:b/>
          <w:color w:val="auto"/>
          <w:sz w:val="44"/>
          <w:szCs w:val="21"/>
          <w:highlight w:val="none"/>
        </w:rPr>
        <w:outlineLvl w:val="0"/>
      </w:pPr>
      <w:r>
        <w:rPr>
          <w:rFonts w:hint="eastAsia" w:ascii="黑体" w:hAnsi="Arial" w:eastAsia="黑体"/>
          <w:b/>
          <w:color w:val="auto"/>
          <w:sz w:val="44"/>
          <w:szCs w:val="21"/>
          <w:highlight w:val="none"/>
        </w:rPr>
        <w:t xml:space="preserve">总  目  录</w:t>
      </w:r>
      <w:r/>
    </w:p>
    <w:p>
      <w:pPr>
        <w:spacing w:line="480" w:lineRule="auto"/>
        <w:rPr>
          <w:rFonts w:ascii="仿宋_GB2312" w:hAnsi="Arial" w:eastAsia="仿宋_GB2312"/>
          <w:b/>
          <w:color w:val="auto"/>
          <w:sz w:val="28"/>
          <w:szCs w:val="21"/>
          <w:highlight w:val="none"/>
        </w:rPr>
      </w:pPr>
      <w:r>
        <w:rPr>
          <w:rFonts w:ascii="仿宋_GB2312" w:hAnsi="Arial" w:eastAsia="仿宋_GB2312"/>
          <w:b/>
          <w:color w:val="auto"/>
          <w:sz w:val="28"/>
          <w:szCs w:val="21"/>
          <w:highlight w:val="none"/>
        </w:rPr>
      </w:r>
      <w:r/>
    </w:p>
    <w:p>
      <w:pPr>
        <w:numPr>
          <w:ilvl w:val="0"/>
          <w:numId w:val="4"/>
        </w:numPr>
        <w:spacing w:line="480" w:lineRule="auto"/>
        <w:rPr>
          <w:rFonts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……………………………………2</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szCs w:val="21"/>
          <w:highlight w:val="none"/>
        </w:rPr>
        <w:t xml:space="preserve">………………………………6</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……………………………………21</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……………………………………28</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………………………39</w:t>
      </w:r>
      <w:r/>
    </w:p>
    <w:p>
      <w:pPr>
        <w:numPr>
          <w:ilvl w:val="0"/>
          <w:numId w:val="4"/>
        </w:numPr>
        <w:spacing w:line="480" w:lineRule="auto"/>
        <w:rPr>
          <w:rFonts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………………………………45</w:t>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rFonts w:ascii="黑体" w:eastAsia="黑体"/>
          <w:color w:val="auto"/>
          <w:sz w:val="44"/>
          <w:szCs w:val="44"/>
          <w:highlight w:val="none"/>
        </w:rPr>
      </w:pPr>
      <w:r>
        <w:rPr>
          <w:rFonts w:hint="eastAsia" w:ascii="黑体" w:eastAsia="黑体"/>
          <w:color w:val="auto"/>
          <w:sz w:val="44"/>
          <w:szCs w:val="44"/>
          <w:highlight w:val="none"/>
        </w:rPr>
        <w:br w:type="page" w:clear="all"/>
      </w:r>
      <w:r/>
    </w:p>
    <w:p>
      <w:pPr>
        <w:pStyle w:val="877"/>
        <w:rPr>
          <w:color w:val="auto"/>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highlight w:val="none"/>
          <w:lang w:eastAsia="zh-CN"/>
        </w:rPr>
      </w:r>
      <w:r/>
    </w:p>
    <w:p>
      <w:pPr>
        <w:jc w:val="center"/>
        <w:spacing w:line="360" w:lineRule="auto"/>
        <w:rPr>
          <w:rFonts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投标邀请</w:t>
      </w:r>
      <w:r/>
    </w:p>
    <w:p>
      <w:pPr>
        <w:ind w:firstLine="482"/>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受南通职业大学的委托，南通市公共资源交易中心就</w:t>
      </w:r>
      <w:r>
        <w:rPr>
          <w:rFonts w:hint="eastAsia" w:ascii="仿宋" w:hAnsi="仿宋" w:eastAsia="仿宋" w:cs="仿宋"/>
          <w:color w:val="auto"/>
          <w:sz w:val="28"/>
          <w:szCs w:val="28"/>
          <w:highlight w:val="none"/>
          <w:lang w:eastAsia="zh-CN"/>
        </w:rPr>
        <w:t xml:space="preserve">南通职业大学钟秀校区课桌椅采购项目（重新采购）</w:t>
      </w:r>
      <w:r>
        <w:rPr>
          <w:rFonts w:hint="eastAsia" w:ascii="仿宋" w:hAnsi="仿宋" w:eastAsia="仿宋" w:cs="仿宋"/>
          <w:color w:val="auto"/>
          <w:sz w:val="28"/>
          <w:szCs w:val="28"/>
          <w:highlight w:val="none"/>
        </w:rPr>
        <w:t xml:space="preserve">(</w:t>
      </w:r>
      <w:r>
        <w:rPr>
          <w:rFonts w:eastAsia="仿宋"/>
          <w:color w:val="auto"/>
          <w:sz w:val="28"/>
          <w:szCs w:val="28"/>
          <w:highlight w:val="none"/>
        </w:rPr>
        <w:t xml:space="preserve">项目编号：</w:t>
      </w:r>
      <w:r>
        <w:rPr>
          <w:rFonts w:hint="eastAsia" w:eastAsia="仿宋"/>
          <w:color w:val="auto"/>
          <w:sz w:val="28"/>
          <w:szCs w:val="28"/>
          <w:highlight w:val="none"/>
          <w:lang w:eastAsia="zh-CN"/>
        </w:rPr>
        <w:t xml:space="preserve">JSZC-320600-JZCG-G2025-0217</w:t>
      </w:r>
      <w:r>
        <w:rPr>
          <w:rFonts w:hint="eastAsia" w:ascii="仿宋" w:hAnsi="仿宋" w:eastAsia="仿宋" w:cs="仿宋"/>
          <w:color w:val="auto"/>
          <w:sz w:val="28"/>
          <w:szCs w:val="28"/>
          <w:highlight w:val="none"/>
        </w:rPr>
        <w:t xml:space="preserve">)进行公开招标采购，欢迎符合条件的供应商投标。</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rPr>
        <w:t xml:space="preserve">项目概况</w:t>
      </w:r>
      <w:r/>
    </w:p>
    <w:p>
      <w:pPr>
        <w:ind w:firstLine="560"/>
        <w:spacing w:line="360" w:lineRule="auto"/>
        <w:rPr>
          <w:rFonts w:hint="eastAsia" w:ascii="仿宋" w:hAnsi="仿宋" w:eastAsia="仿宋"/>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auto"/>
          <w:sz w:val="28"/>
          <w:szCs w:val="28"/>
          <w:highlight w:val="none"/>
          <w:u w:val="single"/>
          <w:lang w:eastAsia="zh-CN"/>
        </w:rPr>
        <w:t xml:space="preserve">南通职业大学钟秀校区课桌椅采购项目（重新采购）</w:t>
      </w:r>
      <w:r>
        <w:rPr>
          <w:rFonts w:hint="eastAsia" w:ascii="仿宋" w:hAnsi="仿宋" w:eastAsia="仿宋"/>
          <w:color w:val="auto"/>
          <w:sz w:val="28"/>
          <w:szCs w:val="28"/>
          <w:highlight w:val="none"/>
        </w:rPr>
        <w:t xml:space="preserve">的潜在投标人可在</w:t>
      </w:r>
      <w:r>
        <w:rPr>
          <w:rFonts w:hint="eastAsia" w:ascii="仿宋" w:hAnsi="仿宋" w:eastAsia="仿宋"/>
          <w:color w:val="auto"/>
          <w:sz w:val="28"/>
          <w:szCs w:val="28"/>
          <w:highlight w:val="none"/>
          <w:u w:val="single"/>
        </w:rPr>
        <w:t xml:space="preserve">“江苏政府采购网”自行免费下载</w:t>
      </w:r>
      <w:r>
        <w:rPr>
          <w:rFonts w:hint="eastAsia" w:ascii="仿宋" w:hAnsi="仿宋" w:eastAsia="仿宋"/>
          <w:color w:val="auto"/>
          <w:sz w:val="28"/>
          <w:szCs w:val="28"/>
          <w:highlight w:val="none"/>
        </w:rPr>
        <w:t xml:space="preserve">招标文件，并于</w:t>
      </w:r>
      <w:r>
        <w:rPr>
          <w:rFonts w:hint="eastAsia" w:eastAsia="仿宋"/>
          <w:color w:val="auto"/>
          <w:sz w:val="28"/>
          <w:szCs w:val="28"/>
          <w:highlight w:val="none"/>
          <w:u w:val="single"/>
        </w:rPr>
        <w:t xml:space="preserve">2025</w:t>
      </w:r>
      <w:r>
        <w:rPr>
          <w:rFonts w:hint="eastAsia" w:eastAsia="Times New Roman"/>
          <w:color w:val="auto"/>
          <w:sz w:val="28"/>
          <w:szCs w:val="28"/>
          <w:highlight w:val="none"/>
          <w:u w:val="single"/>
        </w:rPr>
        <w:t xml:space="preserve">年</w:t>
      </w:r>
      <w:r>
        <w:rPr>
          <w:rFonts w:hint="eastAsia"/>
          <w:color w:val="auto"/>
          <w:sz w:val="28"/>
          <w:szCs w:val="28"/>
          <w:highlight w:val="none"/>
          <w:u w:val="single"/>
        </w:rPr>
        <w:t xml:space="preserve">12</w:t>
      </w:r>
      <w:r>
        <w:rPr>
          <w:rFonts w:hint="eastAsia" w:eastAsia="Times New Roman"/>
          <w:color w:val="auto"/>
          <w:sz w:val="28"/>
          <w:szCs w:val="28"/>
          <w:highlight w:val="none"/>
          <w:u w:val="single"/>
        </w:rPr>
        <w:t xml:space="preserve">月26日10:00分</w:t>
      </w:r>
      <w:r>
        <w:rPr>
          <w:rFonts w:hint="eastAsia" w:ascii="仿宋" w:hAnsi="仿宋" w:eastAsia="仿宋"/>
          <w:bCs/>
          <w:color w:val="auto"/>
          <w:sz w:val="28"/>
          <w:szCs w:val="28"/>
          <w:highlight w:val="none"/>
          <w:u w:val="single"/>
        </w:rPr>
        <w:t xml:space="preserve">（</w:t>
      </w:r>
      <w:r>
        <w:rPr>
          <w:rFonts w:hint="eastAsia" w:ascii="仿宋" w:hAnsi="仿宋" w:eastAsia="仿宋"/>
          <w:bCs/>
          <w:color w:val="auto"/>
          <w:sz w:val="28"/>
          <w:szCs w:val="28"/>
          <w:highlight w:val="none"/>
        </w:rPr>
        <w:t xml:space="preserve">北京时间）前递交投标</w:t>
      </w:r>
      <w:r>
        <w:rPr>
          <w:rFonts w:ascii="仿宋" w:hAnsi="仿宋" w:eastAsia="仿宋"/>
          <w:bCs/>
          <w:color w:val="auto"/>
          <w:sz w:val="28"/>
          <w:szCs w:val="28"/>
          <w:highlight w:val="none"/>
        </w:rPr>
        <w:t xml:space="preserve">文件</w:t>
      </w:r>
      <w:r>
        <w:rPr>
          <w:rFonts w:hint="eastAsia" w:ascii="仿宋" w:hAnsi="仿宋" w:eastAsia="仿宋"/>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仿宋" w:hAnsi="仿宋" w:eastAsia="仿宋"/>
          <w:b/>
          <w:bCs/>
          <w:color w:val="auto"/>
          <w:sz w:val="28"/>
          <w:szCs w:val="28"/>
          <w:highlight w:val="none"/>
        </w:rPr>
        <w:t xml:space="preserve">一、项目基本情况</w:t>
      </w:r>
      <w:bookmarkEnd w:id="6"/>
      <w:r/>
      <w:bookmarkEnd w:id="7"/>
      <w:r/>
      <w:bookmarkEnd w:id="8"/>
      <w:r/>
      <w:bookmarkEnd w:id="9"/>
      <w:r/>
      <w:bookmarkEnd w:id="10"/>
      <w:r/>
      <w:r/>
    </w:p>
    <w:p>
      <w:pPr>
        <w:ind w:firstLine="560"/>
        <w:spacing w:line="360" w:lineRule="auto"/>
        <w:rPr>
          <w:rFonts w:hint="eastAsia" w:eastAsia="仿宋"/>
          <w:color w:val="auto"/>
          <w:sz w:val="28"/>
          <w:szCs w:val="28"/>
          <w:highlight w:val="none"/>
          <w:lang w:eastAsia="zh-CN"/>
        </w:rPr>
      </w:pPr>
      <w:r>
        <w:rPr>
          <w:rFonts w:hint="eastAsia" w:ascii="仿宋" w:hAnsi="仿宋" w:eastAsia="仿宋"/>
          <w:color w:val="auto"/>
          <w:sz w:val="28"/>
          <w:szCs w:val="28"/>
          <w:highlight w:val="none"/>
        </w:rPr>
        <w:t xml:space="preserve">1.项目编号：</w:t>
      </w:r>
      <w:r>
        <w:rPr>
          <w:rFonts w:hint="eastAsia" w:ascii="仿宋" w:hAnsi="仿宋" w:eastAsia="仿宋"/>
          <w:color w:val="auto"/>
          <w:sz w:val="28"/>
          <w:szCs w:val="28"/>
          <w:highlight w:val="none"/>
          <w:lang w:eastAsia="zh-CN"/>
        </w:rPr>
        <w:t xml:space="preserve">JSZC-320600-JZCG-G2025-0217</w:t>
      </w:r>
      <w:r/>
    </w:p>
    <w:p>
      <w:pPr>
        <w:ind w:firstLine="560"/>
        <w:spacing w:line="360" w:lineRule="auto"/>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2.项目名称：</w:t>
      </w:r>
      <w:bookmarkEnd w:id="11"/>
      <w:r>
        <w:rPr>
          <w:rFonts w:hint="eastAsia" w:ascii="仿宋" w:hAnsi="仿宋" w:eastAsia="仿宋"/>
          <w:color w:val="auto"/>
          <w:sz w:val="28"/>
          <w:szCs w:val="28"/>
          <w:highlight w:val="none"/>
          <w:lang w:eastAsia="zh-CN"/>
        </w:rPr>
        <w:t xml:space="preserve">南通职业大学钟秀校区课桌椅采购项目（重新采购）</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4.本项目设定最高限价：</w:t>
      </w:r>
      <w:r>
        <w:rPr>
          <w:rFonts w:hint="eastAsia" w:eastAsia="仿宋"/>
          <w:color w:val="auto"/>
          <w:sz w:val="28"/>
          <w:szCs w:val="28"/>
          <w:highlight w:val="none"/>
        </w:rPr>
        <w:t xml:space="preserve">569.77</w:t>
      </w:r>
      <w:r>
        <w:rPr>
          <w:rFonts w:eastAsia="仿宋"/>
          <w:color w:val="auto"/>
          <w:sz w:val="28"/>
          <w:szCs w:val="28"/>
          <w:highlight w:val="none"/>
        </w:rPr>
        <w:t xml:space="preserve">万元</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5.采购需求：详细内容见本招标文件第四章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w:t>
      </w:r>
      <w:bookmarkStart w:id="12" w:name="_Toc35393622"/>
      <w:r/>
      <w:bookmarkStart w:id="13" w:name="_Toc28359080"/>
      <w:r/>
      <w:bookmarkStart w:id="14" w:name="_Toc35393791"/>
      <w:r/>
      <w:bookmarkStart w:id="15" w:name="_Toc28359003"/>
      <w:r/>
      <w:bookmarkStart w:id="16" w:name="_Toc38985264"/>
      <w:r>
        <w:rPr>
          <w:rFonts w:hint="eastAsia" w:ascii="仿宋" w:hAnsi="仿宋" w:eastAsia="仿宋"/>
          <w:color w:val="auto"/>
          <w:sz w:val="28"/>
          <w:szCs w:val="28"/>
          <w:highlight w:val="none"/>
        </w:rPr>
        <w:t xml:space="preserve">自合同签定之日起120天内供货安装到位，接受采购人验收。</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二、申请人的资格要求</w:t>
      </w:r>
      <w:bookmarkEnd w:id="12"/>
      <w:r/>
      <w:bookmarkEnd w:id="13"/>
      <w:r/>
      <w:bookmarkEnd w:id="14"/>
      <w:r/>
      <w:bookmarkEnd w:id="15"/>
      <w:r/>
      <w:bookmarkEnd w:id="16"/>
      <w:r/>
      <w:r/>
    </w:p>
    <w:p>
      <w:pPr>
        <w:ind w:firstLine="560"/>
        <w:spacing w:line="360" w:lineRule="auto"/>
        <w:rPr>
          <w:rFonts w:hint="eastAsia" w:ascii="仿宋" w:hAnsi="仿宋" w:eastAsia="仿宋"/>
          <w:color w:val="auto"/>
          <w:sz w:val="28"/>
          <w:szCs w:val="28"/>
          <w:highlight w:val="none"/>
        </w:rPr>
      </w:pPr>
      <w:r/>
      <w:bookmarkStart w:id="17" w:name="_Toc38985265"/>
      <w:r/>
      <w:bookmarkStart w:id="18" w:name="_Toc28359081"/>
      <w:r/>
      <w:bookmarkStart w:id="19" w:name="_Toc35393623"/>
      <w:r/>
      <w:bookmarkStart w:id="20" w:name="_Toc28359004"/>
      <w:r/>
      <w:bookmarkStart w:id="21" w:name="_Toc35393792"/>
      <w:r>
        <w:rPr>
          <w:rFonts w:hint="eastAsia" w:ascii="仿宋" w:hAnsi="仿宋" w:eastAsia="仿宋"/>
          <w:color w:val="auto"/>
          <w:sz w:val="28"/>
          <w:szCs w:val="28"/>
          <w:highlight w:val="none"/>
        </w:rPr>
        <w:t xml:space="preserve">（一</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通用</w:t>
      </w:r>
      <w:r>
        <w:rPr>
          <w:rFonts w:ascii="仿宋" w:hAnsi="仿宋" w:eastAsia="仿宋"/>
          <w:color w:val="auto"/>
          <w:sz w:val="28"/>
          <w:szCs w:val="28"/>
          <w:highlight w:val="none"/>
        </w:rPr>
        <w:t xml:space="preserve">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1.满足《中华人民共和国政府采购法》第二十二条规定。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3.本项目不接受联合体投标。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4.本项目不接受分包。</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（三）本项目的特定资格要求：无</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仿宋" w:hAnsi="仿宋" w:eastAsia="仿宋" w:cs="宋体"/>
          <w:color w:val="auto"/>
          <w:sz w:val="28"/>
          <w:szCs w:val="28"/>
          <w:highlight w:val="none"/>
        </w:rPr>
      </w:pPr>
      <w:r/>
      <w:bookmarkStart w:id="22" w:name="_Toc28359005"/>
      <w:r/>
      <w:bookmarkStart w:id="23" w:name="_Toc28359082"/>
      <w:r/>
      <w:bookmarkStart w:id="24" w:name="_Toc35393624"/>
      <w:r/>
      <w:bookmarkStart w:id="25" w:name="_Toc35393793"/>
      <w:r/>
      <w:bookmarkStart w:id="26" w:name="_Toc38985266"/>
      <w:r>
        <w:rPr>
          <w:rFonts w:hint="eastAsia" w:ascii="仿宋" w:hAnsi="仿宋" w:eastAsia="仿宋" w:cs="宋体"/>
          <w:color w:val="auto"/>
          <w:sz w:val="28"/>
          <w:szCs w:val="28"/>
          <w:highlight w:val="none"/>
        </w:rPr>
        <w:t xml:space="preserve">1.时间：自招标文件公告发布之日起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ind w:firstLine="540"/>
        <w:spacing w:line="360" w:lineRule="auto"/>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2.方式：凡有意参与投标的供应商须登录江苏省政府采购网首页点击“苏采云”→通过</w:t>
      </w:r>
      <w:r>
        <w:rPr>
          <w:rFonts w:eastAsia="仿宋"/>
          <w:color w:val="auto"/>
          <w:sz w:val="28"/>
          <w:szCs w:val="28"/>
          <w:highlight w:val="none"/>
        </w:rPr>
        <w:t xml:space="preserve">CA</w:t>
      </w:r>
      <w:r>
        <w:rPr>
          <w:rFonts w:hint="eastAsia" w:ascii="仿宋" w:hAnsi="仿宋" w:eastAsia="仿宋" w:cs="宋体"/>
          <w:color w:val="auto"/>
          <w:sz w:val="28"/>
          <w:szCs w:val="28"/>
          <w:highlight w:val="none"/>
        </w:rPr>
        <w:t xml:space="preserve">锁进行响应确认，并自行在招标文件有效获取期内及时下载获取。</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四、提交投标文件</w:t>
      </w:r>
      <w:bookmarkEnd w:id="22"/>
      <w:r/>
      <w:bookmarkEnd w:id="23"/>
      <w:r>
        <w:rPr>
          <w:rFonts w:hint="eastAsia" w:ascii="仿宋" w:hAnsi="仿宋" w:eastAsia="仿宋"/>
          <w:b/>
          <w:bCs/>
          <w:color w:val="auto"/>
          <w:sz w:val="28"/>
          <w:szCs w:val="28"/>
          <w:highlight w:val="none"/>
        </w:rPr>
        <w:t xml:space="preserve">截止时间、开标时间和地点</w:t>
      </w:r>
      <w:bookmarkEnd w:id="24"/>
      <w:r/>
      <w:bookmarkEnd w:id="25"/>
      <w:r/>
      <w:bookmarkEnd w:id="26"/>
      <w:r/>
      <w:r/>
    </w:p>
    <w:p>
      <w:pPr>
        <w:ind w:firstLine="560"/>
        <w:spacing w:line="360" w:lineRule="auto"/>
        <w:rPr>
          <w:rFonts w:eastAsia="仿宋"/>
          <w:i/>
          <w:color w:val="auto"/>
          <w:sz w:val="28"/>
          <w:szCs w:val="28"/>
          <w:highlight w:val="none"/>
        </w:rPr>
      </w:pPr>
      <w:r>
        <w:rPr>
          <w:rFonts w:eastAsia="仿宋"/>
          <w:bCs/>
          <w:color w:val="auto"/>
          <w:sz w:val="28"/>
          <w:szCs w:val="28"/>
          <w:highlight w:val="none"/>
          <w:u w:val="single"/>
        </w:rPr>
        <w:t xml:space="preserve">1</w:t>
      </w:r>
      <w:r>
        <w:rPr>
          <w:rFonts w:eastAsia="仿宋"/>
          <w:bCs/>
          <w:color w:val="auto"/>
          <w:sz w:val="28"/>
          <w:szCs w:val="28"/>
          <w:highlight w:val="none"/>
          <w:u w:val="single"/>
        </w:rPr>
        <w:t xml:space="preserve">.</w:t>
      </w:r>
      <w:r>
        <w:rPr>
          <w:rFonts w:hint="eastAsia" w:eastAsia="仿宋"/>
          <w:color w:val="auto"/>
          <w:sz w:val="28"/>
          <w:szCs w:val="28"/>
          <w:highlight w:val="none"/>
          <w:u w:val="single"/>
        </w:rPr>
        <w:t xml:space="preserve">2025</w:t>
      </w:r>
      <w:r>
        <w:rPr>
          <w:rFonts w:hint="eastAsia" w:eastAsia="Times New Roman"/>
          <w:color w:val="auto"/>
          <w:sz w:val="28"/>
          <w:szCs w:val="28"/>
          <w:highlight w:val="none"/>
          <w:u w:val="single"/>
        </w:rPr>
        <w:t xml:space="preserve">年</w:t>
      </w:r>
      <w:r>
        <w:rPr>
          <w:rFonts w:hint="eastAsia"/>
          <w:color w:val="auto"/>
          <w:sz w:val="28"/>
          <w:szCs w:val="28"/>
          <w:highlight w:val="none"/>
          <w:u w:val="single"/>
        </w:rPr>
        <w:t xml:space="preserve">12</w:t>
      </w:r>
      <w:r>
        <w:rPr>
          <w:rFonts w:hint="eastAsia" w:eastAsia="Times New Roman"/>
          <w:color w:val="auto"/>
          <w:sz w:val="28"/>
          <w:szCs w:val="28"/>
          <w:highlight w:val="none"/>
          <w:u w:val="single"/>
        </w:rPr>
        <w:t xml:space="preserve">月26日10:00分</w:t>
      </w:r>
      <w:r>
        <w:rPr>
          <w:rFonts w:eastAsia="仿宋"/>
          <w:color w:val="auto"/>
          <w:sz w:val="28"/>
          <w:szCs w:val="28"/>
          <w:highlight w:val="none"/>
          <w:u w:val="single"/>
        </w:rPr>
        <w:t xml:space="preserve"> </w:t>
      </w:r>
      <w:r>
        <w:rPr>
          <w:rFonts w:eastAsia="仿宋"/>
          <w:bCs/>
          <w:color w:val="auto"/>
          <w:sz w:val="28"/>
          <w:szCs w:val="28"/>
          <w:highlight w:val="none"/>
        </w:rPr>
        <w:t xml:space="preserve">（北京时间）</w:t>
      </w:r>
      <w:r/>
    </w:p>
    <w:p>
      <w:pPr>
        <w:ind w:firstLine="560"/>
        <w:spacing w:line="360" w:lineRule="auto"/>
        <w:rPr>
          <w:rFonts w:hint="eastAsia"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2.地点：“苏采云”政府采购交易系统网上开标大厅</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27" w:name="_Toc35393794"/>
      <w:r/>
      <w:bookmarkStart w:id="28" w:name="_Toc35393625"/>
      <w:r/>
      <w:bookmarkStart w:id="29" w:name="_Toc28359007"/>
      <w:r/>
      <w:bookmarkStart w:id="30" w:name="_Toc38985267"/>
      <w:r/>
      <w:bookmarkStart w:id="31" w:name="_Toc28359084"/>
      <w:r>
        <w:rPr>
          <w:rFonts w:hint="eastAsia" w:ascii="仿宋" w:hAnsi="仿宋" w:eastAsia="仿宋"/>
          <w:b/>
          <w:bCs/>
          <w:color w:val="auto"/>
          <w:sz w:val="28"/>
          <w:szCs w:val="28"/>
          <w:highlight w:val="none"/>
        </w:rPr>
        <w:t xml:space="preserve">五、公告期限</w:t>
      </w:r>
      <w:bookmarkEnd w:id="27"/>
      <w:r/>
      <w:bookmarkEnd w:id="28"/>
      <w:r/>
      <w:bookmarkEnd w:id="29"/>
      <w:r/>
      <w:bookmarkEnd w:id="30"/>
      <w:r/>
      <w:bookmarkEnd w:id="31"/>
      <w:r/>
      <w:r/>
    </w:p>
    <w:p>
      <w:pPr>
        <w:ind w:firstLine="560"/>
        <w:spacing w:line="360" w:lineRule="auto"/>
        <w:rPr>
          <w:rFonts w:hint="eastAsia" w:ascii="仿宋" w:hAnsi="仿宋" w:eastAsia="仿宋" w:cs="宋体"/>
          <w:color w:val="auto"/>
          <w:sz w:val="28"/>
          <w:szCs w:val="28"/>
          <w:highlight w:val="none"/>
        </w:rPr>
      </w:pPr>
      <w:r/>
      <w:bookmarkStart w:id="32" w:name="_Toc35393626"/>
      <w:r/>
      <w:bookmarkStart w:id="33" w:name="_Toc35393795"/>
      <w:r/>
      <w:bookmarkStart w:id="34" w:name="_Toc38985268"/>
      <w:r>
        <w:rPr>
          <w:rFonts w:hint="eastAsia" w:ascii="仿宋" w:hAnsi="仿宋" w:eastAsia="仿宋" w:cs="宋体"/>
          <w:color w:val="auto"/>
          <w:sz w:val="28"/>
          <w:szCs w:val="28"/>
          <w:highlight w:val="none"/>
        </w:rPr>
        <w:t xml:space="preserve">招标公告及招标文件公告期限为自本公告发布之日起</w:t>
      </w:r>
      <w:r>
        <w:rPr>
          <w:rFonts w:eastAsia="仿宋"/>
          <w:color w:val="auto"/>
          <w:sz w:val="28"/>
          <w:szCs w:val="28"/>
          <w:highlight w:val="none"/>
        </w:rPr>
        <w:t xml:space="preserve">5</w:t>
      </w:r>
      <w:r>
        <w:rPr>
          <w:rFonts w:hint="eastAsia" w:ascii="仿宋" w:hAnsi="仿宋" w:eastAsia="仿宋" w:cs="宋体"/>
          <w:color w:val="auto"/>
          <w:sz w:val="28"/>
          <w:szCs w:val="28"/>
          <w:highlight w:val="none"/>
        </w:rPr>
        <w:t xml:space="preserve">个工作日。</w:t>
      </w:r>
      <w:r/>
    </w:p>
    <w:p>
      <w:pPr>
        <w:keepLines/>
        <w:keepNext/>
        <w:spacing w:before="120" w:after="120" w:line="360" w:lineRule="auto"/>
        <w:rPr>
          <w:rFonts w:hint="eastAsia" w:ascii="仿宋" w:hAnsi="仿宋" w:eastAsia="仿宋"/>
          <w:b/>
          <w:bCs/>
          <w:color w:val="auto"/>
          <w:sz w:val="28"/>
          <w:szCs w:val="28"/>
          <w:highlight w:val="none"/>
        </w:rPr>
        <w:outlineLvl w:val="2"/>
      </w:pPr>
      <w:r>
        <w:rPr>
          <w:rFonts w:hint="eastAsia" w:ascii="仿宋" w:hAnsi="仿宋" w:eastAsia="仿宋"/>
          <w:b/>
          <w:bCs/>
          <w:color w:val="auto"/>
          <w:sz w:val="28"/>
          <w:szCs w:val="28"/>
          <w:highlight w:val="none"/>
        </w:rPr>
        <w:t xml:space="preserve">六、其他补充事宜</w:t>
      </w:r>
      <w:bookmarkEnd w:id="32"/>
      <w:r/>
      <w:bookmarkEnd w:id="33"/>
      <w:r/>
      <w:bookmarkEnd w:id="34"/>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ascii="仿宋" w:hAnsi="仿宋" w:eastAsia="仿宋" w:cs="宋体"/>
          <w:color w:val="auto"/>
          <w:sz w:val="28"/>
          <w:szCs w:val="28"/>
          <w:highlight w:val="none"/>
        </w:rPr>
        <w:t xml:space="preserve">投标保证金：免收</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w:t>
      </w:r>
      <w:r>
        <w:rPr>
          <w:rFonts w:ascii="仿宋" w:hAnsi="仿宋" w:eastAsia="仿宋" w:cs="宋体"/>
          <w:color w:val="auto"/>
          <w:sz w:val="28"/>
          <w:szCs w:val="28"/>
          <w:highlight w:val="none"/>
        </w:rPr>
        <w:t xml:space="preserve">项目演示、样品、答辩等</w:t>
      </w:r>
      <w:r>
        <w:rPr>
          <w:rFonts w:hint="eastAsia" w:ascii="仿宋" w:hAnsi="仿宋" w:eastAsia="仿宋" w:cs="宋体"/>
          <w:color w:val="auto"/>
          <w:sz w:val="28"/>
          <w:szCs w:val="28"/>
          <w:highlight w:val="none"/>
        </w:rPr>
        <w:t xml:space="preserve">：无</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4.有关本次招标的事项若存在变动或修改，均以江苏政府采购网发布的更正或补充通知为准，敬请及时关注。</w:t>
      </w:r>
      <w:r/>
    </w:p>
    <w:p>
      <w:pPr>
        <w:ind w:right="119" w:firstLine="560"/>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6.“苏采云”系统使用相关提醒</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6.1.根据省财政厅《关于更换全省政府采购交易系统</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数字证书和电子签章的通知》（苏财购〔2023〕101号），“苏采云”政府采购交易系统（以下简称苏采云系统）的</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数字证书、电子签章已更换为江苏省电子政务证书认证中心</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和方正国际软件（北京）有限公司电子签章。如果投标人通过苏采云系统参与政府采购项目，需要更换</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数字证书和电子签章。具体办理指南和操作手册见链接：</w:t>
      </w:r>
      <w:r/>
    </w:p>
    <w:p>
      <w:pPr>
        <w:ind w:right="119"/>
        <w:keepLines/>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http://www.ccgp-jiangsu.gov.cn/jiangsu/zlxz/ee/ee3a4bc5a3454aa2b0d9312230633ce9.html</w:t>
      </w:r>
      <w:r/>
    </w:p>
    <w:p>
      <w:pPr>
        <w:ind w:right="119" w:firstLine="560"/>
        <w:spacing w:line="360" w:lineRule="auto"/>
        <w:rPr>
          <w:rFonts w:hint="eastAsia"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6.2领取</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和办理电子签章请至南通市政务服务中心裙楼四楼（南通市公共资源交易中心）</w:t>
      </w:r>
      <w:r>
        <w:rPr>
          <w:rFonts w:hint="eastAsia"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办理窗口办理，详见《江苏省政府采购数字证书(供应商)</w:t>
      </w:r>
      <w:r>
        <w:rPr>
          <w:rFonts w:eastAsia="仿宋"/>
          <w:bCs/>
          <w:color w:val="auto"/>
          <w:sz w:val="28"/>
          <w:szCs w:val="28"/>
          <w:highlight w:val="none"/>
        </w:rPr>
        <w:t xml:space="preserve">CA</w:t>
      </w:r>
      <w:r>
        <w:rPr>
          <w:rFonts w:hint="eastAsia" w:ascii="仿宋" w:hAnsi="仿宋" w:eastAsia="仿宋" w:cs="宋体"/>
          <w:bCs/>
          <w:color w:val="auto"/>
          <w:sz w:val="28"/>
          <w:szCs w:val="28"/>
          <w:highlight w:val="none"/>
        </w:rPr>
        <w:t xml:space="preserve">及电子签章办理指南》），请及时进行注册并按要求制作、上传电子投标文件。</w:t>
      </w:r>
      <w:r/>
    </w:p>
    <w:p>
      <w:pPr>
        <w:ind w:right="119" w:firstLine="560"/>
        <w:spacing w:line="360" w:lineRule="auto"/>
        <w:rPr>
          <w:rFonts w:hint="eastAsia" w:ascii="仿宋" w:hAnsi="仿宋" w:eastAsia="仿宋" w:cs="宋体"/>
          <w:b/>
          <w:color w:val="auto"/>
          <w:sz w:val="28"/>
          <w:szCs w:val="28"/>
          <w:highlight w:val="none"/>
        </w:rPr>
      </w:pPr>
      <w:r>
        <w:rPr>
          <w:rFonts w:hint="eastAsia" w:ascii="仿宋" w:hAnsi="仿宋" w:eastAsia="仿宋" w:cs="宋体"/>
          <w:bCs/>
          <w:color w:val="auto"/>
          <w:sz w:val="28"/>
          <w:szCs w:val="28"/>
          <w:highlight w:val="none"/>
        </w:rPr>
        <w:t xml:space="preserve">6.3开标当天投标供应商应及时登录“苏采云”不见面开标大厅，并在规定时间内自行实施远程解密。投标供应商解密时间限定为响应文件解密指令发出后</w:t>
      </w:r>
      <w:r>
        <w:rPr>
          <w:rFonts w:eastAsia="仿宋"/>
          <w:bCs/>
          <w:color w:val="auto"/>
          <w:sz w:val="28"/>
          <w:szCs w:val="28"/>
          <w:highlight w:val="none"/>
        </w:rPr>
        <w:t xml:space="preserve">30</w:t>
      </w:r>
      <w:r>
        <w:rPr>
          <w:rFonts w:hint="eastAsia" w:ascii="仿宋" w:hAnsi="仿宋" w:eastAsia="仿宋" w:cs="宋体"/>
          <w:bCs/>
          <w:color w:val="auto"/>
          <w:sz w:val="28"/>
          <w:szCs w:val="28"/>
          <w:highlight w:val="none"/>
        </w:rPr>
        <w:t xml:space="preserve">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35" w:name="_Toc28359085"/>
      <w:r/>
      <w:bookmarkStart w:id="36" w:name="_Toc28359008"/>
      <w:r/>
      <w:bookmarkStart w:id="37" w:name="_Toc35393796"/>
      <w:r/>
      <w:bookmarkStart w:id="38" w:name="_Toc38985269"/>
      <w:r/>
      <w:bookmarkStart w:id="39" w:name="_Toc35393627"/>
      <w:r>
        <w:rPr>
          <w:rFonts w:hint="eastAsia" w:ascii="仿宋" w:hAnsi="仿宋" w:eastAsia="仿宋"/>
          <w:b/>
          <w:bCs/>
          <w:color w:val="auto"/>
          <w:sz w:val="28"/>
          <w:szCs w:val="28"/>
          <w:highlight w:val="none"/>
        </w:rPr>
        <w:t xml:space="preserve">七、本次招标联系方式</w:t>
      </w:r>
      <w:bookmarkEnd w:id="35"/>
      <w:r/>
      <w:bookmarkEnd w:id="36"/>
      <w:r/>
      <w:bookmarkEnd w:id="37"/>
      <w:r/>
      <w:bookmarkEnd w:id="38"/>
      <w:r/>
      <w:bookmarkEnd w:id="39"/>
      <w:r/>
      <w:r/>
    </w:p>
    <w:p>
      <w:pPr>
        <w:jc w:val="left"/>
        <w:spacing w:line="360" w:lineRule="auto"/>
        <w:widowControl/>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1.采购人信息</w:t>
      </w:r>
      <w:r/>
    </w:p>
    <w:p>
      <w:pPr>
        <w:ind w:firstLine="280"/>
        <w:jc w:val="left"/>
        <w:spacing w:line="360" w:lineRule="auto"/>
        <w:rPr>
          <w:rFonts w:hint="eastAsia" w:ascii="仿宋" w:hAnsi="仿宋" w:eastAsia="仿宋" w:cs="宋体"/>
          <w:color w:val="auto"/>
          <w:sz w:val="28"/>
          <w:szCs w:val="28"/>
          <w:highlight w:val="none"/>
        </w:rPr>
      </w:pPr>
      <w:r/>
      <w:bookmarkStart w:id="40" w:name="_Toc28359009"/>
      <w:r/>
      <w:bookmarkStart w:id="41" w:name="_Toc28359086"/>
      <w:r>
        <w:rPr>
          <w:rFonts w:hint="eastAsia" w:ascii="仿宋" w:hAnsi="仿宋" w:eastAsia="仿宋" w:cs="宋体"/>
          <w:color w:val="auto"/>
          <w:sz w:val="28"/>
          <w:szCs w:val="28"/>
          <w:highlight w:val="none"/>
        </w:rPr>
        <w:t xml:space="preserve">名    称：南通职业大学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    址：南通市青年中路</w:t>
      </w:r>
      <w:r>
        <w:rPr>
          <w:rFonts w:hint="eastAsia" w:eastAsia="仿宋"/>
          <w:color w:val="auto"/>
          <w:sz w:val="28"/>
          <w:szCs w:val="28"/>
          <w:highlight w:val="none"/>
        </w:rPr>
        <w:t xml:space="preserve">89</w:t>
      </w:r>
      <w:r>
        <w:rPr>
          <w:rFonts w:hint="eastAsia" w:ascii="仿宋" w:hAnsi="仿宋" w:eastAsia="仿宋" w:cs="宋体"/>
          <w:color w:val="auto"/>
          <w:sz w:val="28"/>
          <w:szCs w:val="28"/>
          <w:highlight w:val="none"/>
        </w:rPr>
        <w:t xml:space="preserve">号</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 系 人：徐老师               </w:t>
      </w:r>
      <w:r/>
    </w:p>
    <w:p>
      <w:pPr>
        <w:ind w:firstLine="280"/>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联系方式：</w:t>
      </w:r>
      <w:r>
        <w:rPr>
          <w:rFonts w:hint="eastAsia" w:eastAsia="仿宋"/>
          <w:color w:val="auto"/>
          <w:sz w:val="28"/>
          <w:szCs w:val="28"/>
          <w:highlight w:val="none"/>
        </w:rPr>
        <w:t xml:space="preserve">13962958530</w:t>
      </w:r>
      <w:r>
        <w:rPr>
          <w:rFonts w:eastAsia="仿宋"/>
          <w:color w:val="auto"/>
          <w:sz w:val="28"/>
          <w:szCs w:val="28"/>
          <w:highlight w:val="none"/>
        </w:rPr>
        <w:t xml:space="preserve">　</w:t>
      </w:r>
      <w:r>
        <w:rPr>
          <w:rFonts w:hint="eastAsia" w:ascii="仿宋" w:hAnsi="仿宋" w:eastAsia="仿宋" w:cs="宋体"/>
          <w:color w:val="auto"/>
          <w:sz w:val="28"/>
          <w:szCs w:val="28"/>
          <w:highlight w:val="none"/>
        </w:rPr>
        <w:t xml:space="preserve">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2.采购代理机构信息</w:t>
      </w:r>
      <w:bookmarkEnd w:id="40"/>
      <w:r/>
      <w:bookmarkEnd w:id="41"/>
      <w:r/>
      <w:r/>
    </w:p>
    <w:p>
      <w:pPr>
        <w:ind w:firstLine="2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名    称：南通市公共资源交易中心</w:t>
      </w:r>
      <w:r/>
    </w:p>
    <w:p>
      <w:pPr>
        <w:ind w:firstLine="2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ascii="仿宋" w:hAnsi="仿宋" w:eastAsia="仿宋"/>
          <w:color w:val="auto"/>
          <w:sz w:val="28"/>
          <w:szCs w:val="28"/>
          <w:highlight w:val="none"/>
        </w:rPr>
        <w:t xml:space="preserve">南通市崇川区工农南路</w:t>
      </w:r>
      <w:r>
        <w:rPr>
          <w:rFonts w:hint="eastAsia" w:eastAsia="仿宋"/>
          <w:color w:val="auto"/>
          <w:sz w:val="28"/>
          <w:szCs w:val="28"/>
          <w:highlight w:val="none"/>
        </w:rPr>
        <w:t xml:space="preserve">150</w:t>
      </w:r>
      <w:r>
        <w:rPr>
          <w:rFonts w:ascii="仿宋" w:hAnsi="仿宋" w:eastAsia="仿宋"/>
          <w:color w:val="auto"/>
          <w:sz w:val="28"/>
          <w:szCs w:val="28"/>
          <w:highlight w:val="none"/>
        </w:rPr>
        <w:t xml:space="preserve">号</w:t>
      </w:r>
      <w:r/>
    </w:p>
    <w:p>
      <w:pPr>
        <w:ind w:firstLine="2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联 系 人：</w:t>
      </w:r>
      <w:r>
        <w:rPr>
          <w:rFonts w:hint="eastAsia" w:ascii="仿宋" w:hAnsi="仿宋" w:eastAsia="仿宋" w:cs="宋体"/>
          <w:color w:val="auto"/>
          <w:sz w:val="28"/>
          <w:szCs w:val="28"/>
          <w:highlight w:val="none"/>
        </w:rPr>
        <w:t xml:space="preserve">徐女士</w:t>
      </w:r>
      <w:r/>
    </w:p>
    <w:p>
      <w:pPr>
        <w:ind w:firstLine="280"/>
        <w:jc w:val="left"/>
        <w:spacing w:line="360" w:lineRule="auto"/>
        <w:rPr>
          <w:rFonts w:eastAsia="仿宋"/>
          <w:color w:val="auto"/>
          <w:sz w:val="28"/>
          <w:szCs w:val="28"/>
          <w:highlight w:val="none"/>
        </w:rPr>
      </w:pPr>
      <w:r>
        <w:rPr>
          <w:rFonts w:hint="eastAsia" w:ascii="仿宋" w:hAnsi="仿宋" w:eastAsia="仿宋"/>
          <w:color w:val="auto"/>
          <w:sz w:val="28"/>
          <w:szCs w:val="28"/>
          <w:highlight w:val="none"/>
        </w:rPr>
        <w:t xml:space="preserve">联系方式：</w:t>
      </w:r>
      <w:bookmarkStart w:id="42" w:name="_Toc28359010"/>
      <w:r/>
      <w:bookmarkStart w:id="43" w:name="_Toc28359087"/>
      <w:r>
        <w:rPr>
          <w:rFonts w:hint="eastAsia" w:ascii="仿宋" w:hAnsi="仿宋" w:eastAsia="仿宋"/>
          <w:color w:val="auto"/>
          <w:sz w:val="28"/>
          <w:szCs w:val="28"/>
          <w:highlight w:val="none"/>
        </w:rPr>
        <w:t xml:space="preserve">0513-59001986</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3.软件技术支持</w:t>
      </w:r>
      <w:r>
        <w:rPr>
          <w:rFonts w:hint="eastAsia" w:eastAsia="仿宋"/>
          <w:color w:val="auto"/>
          <w:sz w:val="28"/>
          <w:szCs w:val="28"/>
          <w:highlight w:val="none"/>
        </w:rPr>
        <w:t xml:space="preserve">：运维客服：0519-86722801、0519-86722806 </w:t>
      </w:r>
      <w:r/>
    </w:p>
    <w:p>
      <w:pPr>
        <w:ind w:firstLine="2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那工：</w:t>
      </w:r>
      <w:r>
        <w:rPr>
          <w:rFonts w:hint="eastAsia" w:eastAsia="仿宋"/>
          <w:color w:val="auto"/>
          <w:sz w:val="28"/>
          <w:szCs w:val="28"/>
          <w:highlight w:val="none"/>
        </w:rPr>
        <w:t xml:space="preserve">0513-59001950</w:t>
      </w:r>
      <w:bookmarkEnd w:id="42"/>
      <w:r/>
      <w:bookmarkEnd w:id="43"/>
      <w:r/>
      <w:r/>
    </w:p>
    <w:p>
      <w:pPr>
        <w:ind w:right="840"/>
        <w:jc w:val="center"/>
        <w:rPr>
          <w:rFonts w:ascii="黑体" w:hAnsi="Arial" w:eastAsia="黑体" w:cs="Arial"/>
          <w:color w:val="auto"/>
          <w:sz w:val="44"/>
          <w:szCs w:val="44"/>
          <w:highlight w:val="none"/>
        </w:rPr>
      </w:pPr>
      <w:r>
        <w:rPr>
          <w:rFonts w:ascii="宋体" w:hAnsi="宋体"/>
          <w:color w:val="auto"/>
          <w:sz w:val="24"/>
          <w:szCs w:val="24"/>
          <w:highlight w:val="none"/>
        </w:rPr>
        <w:br w:type="page" w:clear="all"/>
      </w:r>
      <w:bookmarkStart w:id="44" w:name="_Toc120614211"/>
      <w:r>
        <w:rPr>
          <w:rFonts w:hint="eastAsia" w:ascii="宋体" w:hAnsi="宋体"/>
          <w:color w:val="auto"/>
          <w:sz w:val="24"/>
          <w:szCs w:val="24"/>
          <w:highlight w:val="none"/>
        </w:rPr>
        <w:t xml:space="preserve">         </w:t>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hAnsi="Arial" w:eastAsia="黑体" w:cs="Arial"/>
          <w:b/>
          <w:bCs/>
          <w:color w:val="auto"/>
          <w:sz w:val="44"/>
          <w:szCs w:val="44"/>
          <w:highlight w:val="none"/>
        </w:rPr>
        <w:t xml:space="preserve">投标人须知</w:t>
      </w:r>
      <w:bookmarkEnd w:id="45"/>
      <w:r/>
      <w:bookmarkEnd w:id="46"/>
      <w:r/>
      <w:bookmarkEnd w:id="47"/>
      <w:r/>
      <w:bookmarkEnd w:id="48"/>
      <w:r/>
      <w:r/>
    </w:p>
    <w:p>
      <w:pPr>
        <w:keepLines/>
        <w:keepNext/>
        <w:spacing w:line="360" w:lineRule="auto"/>
        <w:rPr>
          <w:rFonts w:hint="eastAsia" w:ascii="仿宋" w:hAnsi="仿宋" w:eastAsia="仿宋"/>
          <w:b/>
          <w:bCs/>
          <w:color w:val="auto"/>
          <w:sz w:val="28"/>
          <w:szCs w:val="28"/>
          <w:highlight w:val="none"/>
        </w:rPr>
        <w:outlineLvl w:val="2"/>
      </w:pPr>
      <w:r/>
      <w:bookmarkStart w:id="49" w:name="_Toc120614214"/>
      <w:r/>
      <w:bookmarkStart w:id="50" w:name="_Toc16938519"/>
      <w:r/>
      <w:bookmarkStart w:id="51" w:name="_Toc20823275"/>
      <w:r/>
      <w:bookmarkStart w:id="52" w:name="_Toc513029203"/>
      <w:r>
        <w:rPr>
          <w:rFonts w:ascii="仿宋" w:hAnsi="仿宋" w:eastAsia="仿宋"/>
          <w:b/>
          <w:bCs/>
          <w:color w:val="auto"/>
          <w:sz w:val="28"/>
          <w:szCs w:val="28"/>
          <w:highlight w:val="none"/>
        </w:rPr>
        <w:t xml:space="preserve">（一）总则</w:t>
      </w:r>
      <w:bookmarkEnd w:id="49"/>
      <w:r/>
      <w:bookmarkEnd w:id="50"/>
      <w:r/>
      <w:bookmarkEnd w:id="51"/>
      <w:r/>
      <w:bookmarkEnd w:id="52"/>
      <w:r/>
      <w:r/>
    </w:p>
    <w:p>
      <w:pPr>
        <w:keepNext/>
        <w:spacing w:line="360" w:lineRule="auto"/>
        <w:rPr>
          <w:rFonts w:hint="eastAsia" w:ascii="仿宋" w:hAnsi="仿宋" w:eastAsia="仿宋"/>
          <w:b/>
          <w:bCs/>
          <w:color w:val="auto"/>
          <w:sz w:val="28"/>
          <w:szCs w:val="28"/>
          <w:highlight w:val="none"/>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ascii="仿宋" w:hAnsi="仿宋" w:eastAsia="仿宋"/>
          <w:b/>
          <w:bCs/>
          <w:color w:val="auto"/>
          <w:sz w:val="28"/>
          <w:szCs w:val="28"/>
          <w:highlight w:val="none"/>
        </w:rPr>
        <w:t xml:space="preserve">1</w:t>
      </w:r>
      <w:bookmarkEnd w:id="54"/>
      <w:r>
        <w:rPr>
          <w:rFonts w:ascii="仿宋" w:hAnsi="仿宋" w:eastAsia="仿宋"/>
          <w:b/>
          <w:bCs/>
          <w:color w:val="auto"/>
          <w:sz w:val="28"/>
          <w:szCs w:val="28"/>
          <w:highlight w:val="none"/>
        </w:rPr>
        <w:t xml:space="preserve">.招标方式</w:t>
      </w:r>
      <w:bookmarkEnd w:id="55"/>
      <w:r/>
      <w:bookmarkEnd w:id="56"/>
      <w:r/>
      <w:bookmarkEnd w:id="57"/>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1.1本次招标采取公开招标方式，本招标文件仅适用于招标公告中所述项目。</w:t>
      </w:r>
      <w:r/>
    </w:p>
    <w:p>
      <w:pPr>
        <w:keepNext/>
        <w:spacing w:line="360" w:lineRule="auto"/>
        <w:rPr>
          <w:rFonts w:hint="eastAsia" w:ascii="仿宋" w:hAnsi="仿宋" w:eastAsia="仿宋"/>
          <w:b/>
          <w:bCs/>
          <w:color w:val="auto"/>
          <w:sz w:val="28"/>
          <w:szCs w:val="28"/>
          <w:highlight w:val="none"/>
        </w:rPr>
        <w:outlineLvl w:val="3"/>
      </w:pPr>
      <w:r/>
      <w:bookmarkStart w:id="58" w:name="_Toc513029205"/>
      <w:r/>
      <w:bookmarkStart w:id="59" w:name="_Toc16938521"/>
      <w:r/>
      <w:bookmarkStart w:id="60" w:name="_Toc20823277"/>
      <w:r>
        <w:rPr>
          <w:rFonts w:ascii="仿宋" w:hAnsi="仿宋" w:eastAsia="仿宋"/>
          <w:b/>
          <w:bCs/>
          <w:color w:val="auto"/>
          <w:sz w:val="28"/>
          <w:szCs w:val="28"/>
          <w:highlight w:val="none"/>
        </w:rPr>
        <w:t xml:space="preserve">2.合格的投标人</w:t>
      </w:r>
      <w:bookmarkEnd w:id="58"/>
      <w:r/>
      <w:bookmarkEnd w:id="59"/>
      <w:r/>
      <w:bookmarkEnd w:id="60"/>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2.1满足招标公告中供应商的资格要求的规定。</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2.2 满足本文件实质性条款的规定。</w:t>
      </w:r>
      <w:r/>
    </w:p>
    <w:p>
      <w:pPr>
        <w:keepNext/>
        <w:spacing w:line="360" w:lineRule="auto"/>
        <w:rPr>
          <w:rFonts w:hint="eastAsia" w:ascii="仿宋" w:hAnsi="仿宋" w:eastAsia="仿宋"/>
          <w:b/>
          <w:bCs/>
          <w:color w:val="auto"/>
          <w:sz w:val="28"/>
          <w:szCs w:val="28"/>
          <w:highlight w:val="none"/>
        </w:rPr>
        <w:outlineLvl w:val="3"/>
      </w:pPr>
      <w:r/>
      <w:bookmarkStart w:id="61" w:name="_Toc20823278"/>
      <w:r/>
      <w:bookmarkStart w:id="62" w:name="_Toc513029206"/>
      <w:r/>
      <w:bookmarkStart w:id="63" w:name="_Toc16938522"/>
      <w:r>
        <w:rPr>
          <w:rFonts w:ascii="仿宋" w:hAnsi="仿宋" w:eastAsia="仿宋"/>
          <w:b/>
          <w:bCs/>
          <w:color w:val="auto"/>
          <w:sz w:val="28"/>
          <w:szCs w:val="28"/>
          <w:highlight w:val="none"/>
        </w:rPr>
        <w:t xml:space="preserve">3.适用法律</w:t>
      </w:r>
      <w:bookmarkEnd w:id="61"/>
      <w:r/>
      <w:bookmarkEnd w:id="62"/>
      <w:r/>
      <w:bookmarkEnd w:id="63"/>
      <w:r/>
      <w:r/>
    </w:p>
    <w:p>
      <w:pPr>
        <w:ind w:firstLine="49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3.1本次招标及由此产生的合同受中华人民共和国有关的法律法规制约和保护。</w:t>
      </w:r>
      <w:r/>
    </w:p>
    <w:p>
      <w:pPr>
        <w:keepNext/>
        <w:spacing w:line="360" w:lineRule="auto"/>
        <w:rPr>
          <w:rFonts w:hint="eastAsia" w:ascii="仿宋" w:hAnsi="仿宋" w:eastAsia="仿宋"/>
          <w:b/>
          <w:bCs/>
          <w:color w:val="auto"/>
          <w:sz w:val="28"/>
          <w:szCs w:val="28"/>
          <w:highlight w:val="none"/>
        </w:rPr>
        <w:outlineLvl w:val="3"/>
      </w:pPr>
      <w:r/>
      <w:bookmarkStart w:id="64" w:name="_Toc16938523"/>
      <w:r/>
      <w:bookmarkStart w:id="65" w:name="_Toc20823279"/>
      <w:r/>
      <w:bookmarkStart w:id="66" w:name="_Toc513029207"/>
      <w:r/>
      <w:bookmarkStart w:id="67" w:name="_Toc462564067"/>
      <w:r>
        <w:rPr>
          <w:rFonts w:ascii="仿宋" w:hAnsi="仿宋" w:eastAsia="仿宋"/>
          <w:b/>
          <w:bCs/>
          <w:color w:val="auto"/>
          <w:sz w:val="28"/>
          <w:szCs w:val="28"/>
          <w:highlight w:val="none"/>
        </w:rPr>
        <w:t xml:space="preserve">4.投标费用</w:t>
      </w:r>
      <w:bookmarkEnd w:id="64"/>
      <w:r/>
      <w:bookmarkEnd w:id="65"/>
      <w:r/>
      <w:bookmarkEnd w:id="66"/>
      <w:r/>
      <w:bookmarkEnd w:id="67"/>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4.1</w:t>
      </w:r>
      <w:r>
        <w:rPr>
          <w:rFonts w:ascii="仿宋" w:hAnsi="仿宋" w:eastAsia="仿宋"/>
          <w:color w:val="auto"/>
          <w:sz w:val="28"/>
          <w:szCs w:val="28"/>
          <w:highlight w:val="none"/>
        </w:rPr>
        <w:t xml:space="preserve">投标人应自行承担所有与参加投标有关的费用，无论投标过程中的做法和结果如何，南通市</w:t>
      </w:r>
      <w:r>
        <w:rPr>
          <w:rFonts w:hint="eastAsia" w:ascii="仿宋" w:hAnsi="仿宋" w:eastAsia="仿宋"/>
          <w:color w:val="auto"/>
          <w:sz w:val="28"/>
          <w:szCs w:val="28"/>
          <w:highlight w:val="none"/>
        </w:rPr>
        <w:t xml:space="preserve">公共资源交易中心</w:t>
      </w:r>
      <w:r>
        <w:rPr>
          <w:rFonts w:ascii="仿宋" w:hAnsi="仿宋" w:eastAsia="仿宋"/>
          <w:color w:val="auto"/>
          <w:sz w:val="28"/>
          <w:szCs w:val="28"/>
          <w:highlight w:val="none"/>
        </w:rPr>
        <w:t xml:space="preserve">（以下简称交易中心）在任何情况下均无义务和责任承担上述费用。</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4.2本次招标交易中心和采购人不收取标书工本费与中标服务费。</w:t>
      </w:r>
      <w:r/>
    </w:p>
    <w:p>
      <w:pPr>
        <w:keepNext/>
        <w:spacing w:line="360" w:lineRule="auto"/>
        <w:rPr>
          <w:rFonts w:hint="eastAsia" w:ascii="仿宋" w:hAnsi="仿宋" w:eastAsia="仿宋"/>
          <w:b/>
          <w:bCs/>
          <w:color w:val="auto"/>
          <w:sz w:val="28"/>
          <w:szCs w:val="28"/>
          <w:highlight w:val="none"/>
        </w:rPr>
        <w:outlineLvl w:val="3"/>
      </w:pPr>
      <w:r>
        <w:rPr>
          <w:rFonts w:ascii="仿宋" w:hAnsi="仿宋" w:eastAsia="仿宋"/>
          <w:b/>
          <w:bCs/>
          <w:color w:val="auto"/>
          <w:sz w:val="28"/>
          <w:szCs w:val="28"/>
          <w:highlight w:val="none"/>
        </w:rPr>
        <w:t xml:space="preserve">5.招标文件的约束力</w:t>
      </w:r>
      <w:r/>
    </w:p>
    <w:p>
      <w:pPr>
        <w:ind w:firstLine="560"/>
        <w:spacing w:line="360" w:lineRule="auto"/>
        <w:rPr>
          <w:rFonts w:hint="eastAsia" w:ascii="仿宋" w:hAnsi="仿宋" w:eastAsia="仿宋"/>
          <w:color w:val="auto"/>
          <w:sz w:val="28"/>
          <w:szCs w:val="28"/>
          <w:highlight w:val="none"/>
        </w:rPr>
      </w:pPr>
      <w:r>
        <w:rPr>
          <w:rFonts w:ascii="仿宋" w:hAnsi="仿宋" w:eastAsia="仿宋"/>
          <w:bCs/>
          <w:color w:val="auto"/>
          <w:sz w:val="28"/>
          <w:szCs w:val="28"/>
          <w:highlight w:val="none"/>
        </w:rPr>
        <w:t xml:space="preserve">5.1</w:t>
      </w:r>
      <w:r>
        <w:rPr>
          <w:rFonts w:ascii="仿宋" w:hAnsi="仿宋" w:eastAsia="仿宋"/>
          <w:color w:val="auto"/>
          <w:sz w:val="28"/>
          <w:szCs w:val="28"/>
          <w:highlight w:val="none"/>
        </w:rPr>
        <w:t xml:space="preserve">投标人一旦参加本项目采购活动，即被认为接受了本招标文件的规定和约束。</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68" w:name="_Toc513029209"/>
      <w:r/>
      <w:bookmarkStart w:id="69" w:name="_Toc120614215"/>
      <w:r/>
      <w:bookmarkStart w:id="70" w:name="_Toc16938525"/>
      <w:r/>
      <w:bookmarkStart w:id="71" w:name="_Toc20823281"/>
      <w:r>
        <w:rPr>
          <w:rFonts w:hint="eastAsia" w:ascii="仿宋" w:hAnsi="仿宋" w:eastAsia="仿宋"/>
          <w:b/>
          <w:bCs/>
          <w:color w:val="auto"/>
          <w:sz w:val="28"/>
          <w:szCs w:val="28"/>
          <w:highlight w:val="none"/>
        </w:rPr>
        <w:t xml:space="preserve">二、招标文件</w:t>
      </w:r>
      <w:bookmarkEnd w:id="68"/>
      <w:r/>
      <w:bookmarkEnd w:id="69"/>
      <w:r/>
      <w:bookmarkEnd w:id="70"/>
      <w:r/>
      <w:bookmarkEnd w:id="71"/>
      <w:r/>
      <w:r/>
    </w:p>
    <w:p>
      <w:pPr>
        <w:keepLines/>
        <w:keepNext/>
        <w:spacing w:line="360" w:lineRule="auto"/>
        <w:rPr>
          <w:rFonts w:hint="eastAsia" w:ascii="仿宋" w:hAnsi="仿宋" w:eastAsia="仿宋" w:cs="Arial"/>
          <w:b/>
          <w:bCs/>
          <w:color w:val="auto"/>
          <w:sz w:val="28"/>
          <w:szCs w:val="28"/>
          <w:highlight w:val="none"/>
        </w:rPr>
        <w:outlineLvl w:val="3"/>
      </w:pPr>
      <w:r/>
      <w:bookmarkStart w:id="72" w:name="_Toc513029210"/>
      <w:r/>
      <w:bookmarkStart w:id="73" w:name="_Toc20823282"/>
      <w:r/>
      <w:bookmarkStart w:id="74" w:name="_Toc16938526"/>
      <w:r>
        <w:rPr>
          <w:rFonts w:hint="eastAsia" w:ascii="仿宋" w:hAnsi="仿宋" w:eastAsia="仿宋" w:cs="Arial"/>
          <w:b/>
          <w:bCs/>
          <w:color w:val="auto"/>
          <w:sz w:val="28"/>
          <w:szCs w:val="28"/>
          <w:highlight w:val="none"/>
        </w:rPr>
        <w:t xml:space="preserve">6、招标文件构成</w:t>
      </w:r>
      <w:bookmarkEnd w:id="72"/>
      <w:r/>
      <w:bookmarkEnd w:id="73"/>
      <w:r/>
      <w:bookmarkEnd w:id="7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6.1</w:t>
      </w:r>
      <w:r>
        <w:rPr>
          <w:rFonts w:hint="eastAsia" w:ascii="仿宋" w:hAnsi="仿宋" w:eastAsia="仿宋"/>
          <w:color w:val="auto"/>
          <w:sz w:val="28"/>
          <w:szCs w:val="28"/>
          <w:highlight w:val="none"/>
        </w:rPr>
        <w:t xml:space="preserve"> 招标文件由以下部分组成：</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w:t>
      </w:r>
      <w:r>
        <w:rPr>
          <w:rFonts w:ascii="仿宋" w:hAnsi="仿宋" w:eastAsia="仿宋"/>
          <w:color w:val="auto"/>
          <w:sz w:val="28"/>
          <w:szCs w:val="28"/>
          <w:highlight w:val="none"/>
        </w:rPr>
        <w:t xml:space="preserve">邀请</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（2）投标人须知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（3）合同文本</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（4）采购需求</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（5）评标方法与评标标准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（6）投标文件格式</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请仔细检查招标文件是否齐全，如有缺漏请立即与交易中心联系解决。</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6.2</w:t>
      </w:r>
      <w:r>
        <w:rPr>
          <w:rFonts w:hint="eastAsia" w:ascii="仿宋" w:hAnsi="仿宋" w:eastAsia="仿宋"/>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bookmarkStart w:id="75" w:name="_Toc20823283"/>
      <w:r/>
      <w:bookmarkStart w:id="76" w:name="_Toc462564070"/>
      <w:r/>
      <w:bookmarkStart w:id="77" w:name="_Toc513029211"/>
      <w:r/>
      <w:bookmarkStart w:id="78" w:name="_Toc16938527"/>
      <w:r>
        <w:rPr>
          <w:rFonts w:hint="eastAsia" w:ascii="仿宋" w:hAnsi="仿宋" w:eastAsia="仿宋" w:cs="Arial"/>
          <w:b/>
          <w:bCs/>
          <w:color w:val="auto"/>
          <w:sz w:val="28"/>
          <w:szCs w:val="28"/>
          <w:highlight w:val="none"/>
        </w:rPr>
        <w:t xml:space="preserve">7、招标文件的澄清</w:t>
      </w:r>
      <w:bookmarkEnd w:id="75"/>
      <w:r/>
      <w:bookmarkEnd w:id="76"/>
      <w:r/>
      <w:bookmarkEnd w:id="77"/>
      <w:r/>
      <w:bookmarkEnd w:id="78"/>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任何要求对招标文件进行澄清的投标人，应在投标截止期</w:t>
      </w:r>
      <w:r>
        <w:rPr>
          <w:rFonts w:hint="eastAsia" w:ascii="仿宋" w:hAnsi="仿宋" w:eastAsia="仿宋"/>
          <w:b/>
          <w:color w:val="auto"/>
          <w:sz w:val="28"/>
          <w:szCs w:val="28"/>
          <w:highlight w:val="none"/>
        </w:rPr>
        <w:t xml:space="preserve">十日前</w:t>
      </w:r>
      <w:r>
        <w:rPr>
          <w:rFonts w:hint="eastAsia" w:ascii="仿宋" w:hAnsi="仿宋" w:eastAsia="仿宋"/>
          <w:color w:val="auto"/>
          <w:sz w:val="28"/>
          <w:szCs w:val="28"/>
          <w:highlight w:val="none"/>
        </w:rPr>
        <w:t xml:space="preserve">按招标公告中的通讯地址，以书面形式通知交易中心。采购人有权对发出的招标文件进行必要的澄清或修改。</w:t>
      </w:r>
      <w:r/>
    </w:p>
    <w:p>
      <w:pPr>
        <w:keepLines/>
        <w:keepNext/>
        <w:spacing w:line="360" w:lineRule="auto"/>
        <w:rPr>
          <w:rFonts w:hint="eastAsia" w:ascii="仿宋" w:hAnsi="仿宋" w:eastAsia="仿宋" w:cs="Arial"/>
          <w:b/>
          <w:bCs/>
          <w:color w:val="auto"/>
          <w:sz w:val="28"/>
          <w:szCs w:val="28"/>
          <w:highlight w:val="none"/>
        </w:rPr>
        <w:outlineLvl w:val="3"/>
      </w:pPr>
      <w:r/>
      <w:bookmarkStart w:id="79" w:name="_Toc462564071"/>
      <w:r/>
      <w:bookmarkStart w:id="80" w:name="_Toc20823284"/>
      <w:r/>
      <w:bookmarkStart w:id="81" w:name="_Toc16938528"/>
      <w:r/>
      <w:bookmarkStart w:id="82" w:name="_Toc513029212"/>
      <w:r>
        <w:rPr>
          <w:rFonts w:hint="eastAsia" w:ascii="仿宋" w:hAnsi="仿宋" w:eastAsia="仿宋" w:cs="Arial"/>
          <w:b/>
          <w:bCs/>
          <w:color w:val="auto"/>
          <w:sz w:val="28"/>
          <w:szCs w:val="28"/>
          <w:highlight w:val="none"/>
        </w:rPr>
        <w:t xml:space="preserve">8、招标文件的修改</w:t>
      </w:r>
      <w:bookmarkEnd w:id="79"/>
      <w:r/>
      <w:bookmarkEnd w:id="80"/>
      <w:r/>
      <w:bookmarkEnd w:id="81"/>
      <w:r/>
      <w:bookmarkEnd w:id="82"/>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8.1</w:t>
      </w:r>
      <w:r>
        <w:rPr>
          <w:rFonts w:hint="eastAsia" w:ascii="仿宋" w:hAnsi="仿宋" w:eastAsia="仿宋"/>
          <w:color w:val="auto"/>
          <w:sz w:val="28"/>
          <w:szCs w:val="28"/>
          <w:highlight w:val="none"/>
        </w:rPr>
        <w:t xml:space="preserve"> 在投标截止时间前，交易中心可以对招标文件进行修改。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8.2 </w:t>
      </w:r>
      <w:r>
        <w:rPr>
          <w:rFonts w:hint="eastAsia" w:ascii="仿宋" w:hAnsi="仿宋" w:eastAsia="仿宋"/>
          <w:color w:val="auto"/>
          <w:sz w:val="28"/>
          <w:szCs w:val="28"/>
          <w:highlight w:val="none"/>
        </w:rPr>
        <w:t xml:space="preserve">交易中心有权按照法定的要求推迟投标截止日期和开标日期。</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8.3</w:t>
      </w:r>
      <w:r>
        <w:rPr>
          <w:rFonts w:hint="eastAsia" w:ascii="仿宋" w:hAnsi="仿宋" w:eastAsia="仿宋"/>
          <w:color w:val="auto"/>
          <w:sz w:val="28"/>
          <w:szCs w:val="28"/>
          <w:highlight w:val="none"/>
        </w:rPr>
        <w:t xml:space="preserve">招标文件的修改将在江苏政府采购网公布，补充文件将作为招标文件的组成部分，并对投标人具有约束力。</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83" w:name="_Toc513029213"/>
      <w:r/>
      <w:bookmarkStart w:id="84" w:name="_Toc462564072"/>
      <w:r/>
      <w:bookmarkStart w:id="85" w:name="_Toc20823285"/>
      <w:r/>
      <w:bookmarkStart w:id="86" w:name="_Toc16938529"/>
      <w:r/>
      <w:bookmarkStart w:id="87" w:name="_Toc120614216"/>
      <w:r>
        <w:rPr>
          <w:rFonts w:hint="eastAsia" w:ascii="仿宋" w:hAnsi="仿宋" w:eastAsia="仿宋"/>
          <w:b/>
          <w:bCs/>
          <w:color w:val="auto"/>
          <w:sz w:val="28"/>
          <w:szCs w:val="28"/>
          <w:highlight w:val="none"/>
        </w:rPr>
        <w:t xml:space="preserve">三、投标文件的编制</w:t>
      </w:r>
      <w:bookmarkEnd w:id="83"/>
      <w:r/>
      <w:bookmarkEnd w:id="84"/>
      <w:r/>
      <w:bookmarkEnd w:id="85"/>
      <w:r/>
      <w:bookmarkEnd w:id="86"/>
      <w:r/>
      <w:bookmarkEnd w:id="87"/>
      <w:r/>
      <w:r/>
    </w:p>
    <w:p>
      <w:pPr>
        <w:keepLines/>
        <w:keepNext/>
        <w:spacing w:line="360" w:lineRule="auto"/>
        <w:rPr>
          <w:rFonts w:hint="eastAsia" w:ascii="仿宋" w:hAnsi="仿宋" w:eastAsia="仿宋" w:cs="Arial"/>
          <w:b/>
          <w:bCs/>
          <w:color w:val="auto"/>
          <w:sz w:val="28"/>
          <w:szCs w:val="28"/>
          <w:highlight w:val="none"/>
        </w:rPr>
        <w:outlineLvl w:val="3"/>
      </w:pPr>
      <w:r/>
      <w:bookmarkStart w:id="88" w:name="_Toc462564073"/>
      <w:r/>
      <w:bookmarkStart w:id="89" w:name="_Toc513029214"/>
      <w:r/>
      <w:bookmarkStart w:id="90" w:name="_Toc16938530"/>
      <w:r/>
      <w:bookmarkStart w:id="91" w:name="_Toc20823286"/>
      <w:r>
        <w:rPr>
          <w:rFonts w:hint="eastAsia" w:ascii="仿宋" w:hAnsi="仿宋" w:eastAsia="仿宋" w:cs="Arial"/>
          <w:b/>
          <w:bCs/>
          <w:color w:val="auto"/>
          <w:sz w:val="28"/>
          <w:szCs w:val="28"/>
          <w:highlight w:val="none"/>
        </w:rPr>
        <w:t xml:space="preserve">9、投标文件的语言及度量衡单位</w:t>
      </w:r>
      <w:bookmarkEnd w:id="88"/>
      <w:r/>
      <w:bookmarkEnd w:id="89"/>
      <w:r/>
      <w:bookmarkEnd w:id="90"/>
      <w:r/>
      <w:bookmarkEnd w:id="91"/>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9.1</w:t>
      </w:r>
      <w:r>
        <w:rPr>
          <w:rFonts w:hint="eastAsia" w:ascii="仿宋" w:hAnsi="仿宋" w:eastAsia="仿宋"/>
          <w:color w:val="auto"/>
          <w:sz w:val="28"/>
          <w:szCs w:val="28"/>
          <w:highlight w:val="none"/>
        </w:rPr>
        <w:t xml:space="preserve">投标人提交的投标文件以及投标人与交易中心就有关投标的所有来往通知、函件和文件均应使用简体中文。</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9.2</w:t>
      </w:r>
      <w:r>
        <w:rPr>
          <w:rFonts w:hint="eastAsia" w:ascii="仿宋" w:hAnsi="仿宋" w:eastAsia="仿宋"/>
          <w:color w:val="auto"/>
          <w:sz w:val="28"/>
          <w:szCs w:val="28"/>
          <w:highlight w:val="none"/>
        </w:rPr>
        <w:t xml:space="preserve">除技术性能另有规定外，投标文件所使用的度量衡单位，均须采用国家法定计量单位。</w:t>
      </w:r>
      <w:r/>
    </w:p>
    <w:p>
      <w:pPr>
        <w:keepLines/>
        <w:keepNext/>
        <w:spacing w:line="360" w:lineRule="auto"/>
        <w:rPr>
          <w:rFonts w:hint="eastAsia" w:ascii="仿宋" w:hAnsi="仿宋" w:eastAsia="仿宋" w:cs="Arial"/>
          <w:b/>
          <w:bCs/>
          <w:color w:val="auto"/>
          <w:sz w:val="28"/>
          <w:szCs w:val="28"/>
          <w:highlight w:val="none"/>
        </w:rPr>
        <w:outlineLvl w:val="3"/>
      </w:pPr>
      <w:r/>
      <w:bookmarkStart w:id="92" w:name="_Toc16938531"/>
      <w:r/>
      <w:bookmarkStart w:id="93" w:name="_Toc513029215"/>
      <w:r/>
      <w:bookmarkStart w:id="94" w:name="_Toc462564074"/>
      <w:r/>
      <w:bookmarkStart w:id="95" w:name="_Toc20823287"/>
      <w:r>
        <w:rPr>
          <w:rFonts w:hint="eastAsia" w:ascii="仿宋" w:hAnsi="仿宋" w:eastAsia="仿宋" w:cs="Arial"/>
          <w:b/>
          <w:bCs/>
          <w:color w:val="auto"/>
          <w:sz w:val="28"/>
          <w:szCs w:val="28"/>
          <w:highlight w:val="none"/>
        </w:rPr>
        <w:t xml:space="preserve">10、投标文件构成</w:t>
      </w:r>
      <w:bookmarkEnd w:id="92"/>
      <w:r/>
      <w:bookmarkEnd w:id="93"/>
      <w:r/>
      <w:bookmarkEnd w:id="94"/>
      <w:r/>
      <w:bookmarkEnd w:id="95"/>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10.1</w:t>
      </w:r>
      <w:r>
        <w:rPr>
          <w:rFonts w:hint="eastAsia" w:ascii="仿宋" w:hAnsi="仿宋" w:eastAsia="仿宋"/>
          <w:color w:val="auto"/>
          <w:sz w:val="28"/>
          <w:szCs w:val="28"/>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10.2如标书制作工具中格式和内容与“江苏政府采购网”发布的招标文件不一致，请以“江苏政府采购网”发布的招标文件为准。</w:t>
      </w:r>
      <w:r/>
    </w:p>
    <w:p>
      <w:pPr>
        <w:keepLines/>
        <w:keepNext/>
        <w:spacing w:line="360" w:lineRule="auto"/>
        <w:rPr>
          <w:rFonts w:hint="eastAsia" w:ascii="仿宋" w:hAnsi="仿宋" w:eastAsia="仿宋" w:cs="Arial"/>
          <w:b/>
          <w:bCs/>
          <w:color w:val="auto"/>
          <w:sz w:val="28"/>
          <w:szCs w:val="28"/>
          <w:highlight w:val="none"/>
        </w:rPr>
        <w:outlineLvl w:val="3"/>
      </w:pPr>
      <w:r/>
      <w:bookmarkStart w:id="96" w:name="_Hlt26954838"/>
      <w:r/>
      <w:bookmarkEnd w:id="96"/>
      <w:r/>
      <w:bookmarkStart w:id="97" w:name="_Hlt26668975"/>
      <w:r/>
      <w:bookmarkEnd w:id="97"/>
      <w:r/>
      <w:bookmarkStart w:id="98" w:name="_Hlt26670360"/>
      <w:r/>
      <w:bookmarkEnd w:id="98"/>
      <w:r/>
      <w:bookmarkStart w:id="99" w:name="_Toc14577357"/>
      <w:r/>
      <w:bookmarkStart w:id="100" w:name="_Toc14577354"/>
      <w:r/>
      <w:bookmarkStart w:id="101" w:name="_Toc513029216"/>
      <w:r/>
      <w:bookmarkStart w:id="102" w:name="_Toc49090507"/>
      <w:r/>
      <w:bookmarkStart w:id="103" w:name="_Toc49090509"/>
      <w:r/>
      <w:bookmarkStart w:id="104" w:name="_Toc513029219"/>
      <w:r/>
      <w:bookmarkStart w:id="105" w:name="_Toc14577355"/>
      <w:r/>
      <w:bookmarkStart w:id="106" w:name="_Toc49090508"/>
      <w:r>
        <w:rPr>
          <w:rFonts w:hint="eastAsia" w:ascii="仿宋" w:hAnsi="仿宋" w:eastAsia="仿宋" w:cs="Arial"/>
          <w:b/>
          <w:bCs/>
          <w:color w:val="auto"/>
          <w:sz w:val="28"/>
          <w:szCs w:val="28"/>
          <w:highlight w:val="none"/>
        </w:rPr>
        <w:t xml:space="preserve">11、证明投标人及投标标的符合招标文件规定的文件</w:t>
      </w:r>
      <w:bookmarkEnd w:id="99"/>
      <w:r/>
      <w:bookmarkEnd w:id="100"/>
      <w:r/>
      <w:bookmarkEnd w:id="101"/>
      <w:r/>
      <w:bookmarkEnd w:id="102"/>
      <w:r/>
      <w:bookmarkEnd w:id="103"/>
      <w:r/>
      <w:bookmarkEnd w:id="104"/>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11.1投标人应按照招标文件要求提交证明文件，证明其及投标标的符合招标文件规定。</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11.2招标文件对证明文件无明确形式要求的，证明文件可以以文字资料、图纸和数据等形式提交。</w:t>
      </w:r>
      <w:bookmarkEnd w:id="105"/>
      <w:r/>
      <w:bookmarkEnd w:id="106"/>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12、投标分项报价表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12.1</w:t>
      </w:r>
      <w:r>
        <w:rPr>
          <w:rFonts w:hint="eastAsia" w:ascii="仿宋" w:hAnsi="仿宋" w:eastAsia="仿宋"/>
          <w:color w:val="auto"/>
          <w:sz w:val="28"/>
          <w:szCs w:val="28"/>
          <w:highlight w:val="none"/>
        </w:rPr>
        <w:t xml:space="preserve">投标人按照招标文件规定格式填报投标分项报价表。</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12.2</w:t>
      </w:r>
      <w:r>
        <w:rPr>
          <w:rFonts w:hint="eastAsia" w:ascii="仿宋" w:hAnsi="仿宋" w:eastAsia="仿宋"/>
          <w:bCs/>
          <w:color w:val="auto"/>
          <w:sz w:val="28"/>
          <w:szCs w:val="28"/>
          <w:highlight w:val="none"/>
        </w:rPr>
        <w:t xml:space="preserve">投标货币。投标文件中的单价和总价无特殊规定的采用人民币报价，以元为单位标注。</w:t>
      </w:r>
      <w:r>
        <w:rPr>
          <w:rFonts w:hint="eastAsia" w:ascii="仿宋" w:hAnsi="仿宋" w:eastAsia="仿宋"/>
          <w:color w:val="auto"/>
          <w:sz w:val="28"/>
          <w:szCs w:val="28"/>
          <w:highlight w:val="none"/>
        </w:rPr>
        <w:t xml:space="preserve">招标文件中另有规定的按规定执行。</w:t>
      </w:r>
      <w:r/>
    </w:p>
    <w:p>
      <w:pPr>
        <w:keepLines/>
        <w:keepNext/>
        <w:spacing w:line="360" w:lineRule="auto"/>
        <w:rPr>
          <w:rFonts w:hint="eastAsia" w:ascii="仿宋" w:hAnsi="仿宋" w:eastAsia="仿宋" w:cs="Arial"/>
          <w:b/>
          <w:bCs/>
          <w:color w:val="auto"/>
          <w:sz w:val="28"/>
          <w:szCs w:val="28"/>
          <w:highlight w:val="none"/>
        </w:rPr>
        <w:outlineLvl w:val="3"/>
      </w:pPr>
      <w:r/>
      <w:bookmarkStart w:id="107" w:name="_Hlt26954846"/>
      <w:r/>
      <w:bookmarkEnd w:id="107"/>
      <w:r/>
      <w:bookmarkStart w:id="108" w:name="_Hlt26670486"/>
      <w:r/>
      <w:bookmarkEnd w:id="108"/>
      <w:r/>
      <w:bookmarkStart w:id="109" w:name="_Hlt26670482"/>
      <w:r/>
      <w:bookmarkEnd w:id="109"/>
      <w:r/>
      <w:bookmarkStart w:id="110" w:name="_Hlt26954848"/>
      <w:r/>
      <w:bookmarkEnd w:id="110"/>
      <w:r/>
      <w:bookmarkStart w:id="111" w:name="_Hlt26954731"/>
      <w:r/>
      <w:bookmarkEnd w:id="111"/>
      <w:r>
        <w:rPr>
          <w:rFonts w:hint="eastAsia" w:ascii="仿宋" w:hAnsi="仿宋" w:eastAsia="仿宋" w:cs="Arial"/>
          <w:b/>
          <w:bCs/>
          <w:color w:val="auto"/>
          <w:sz w:val="28"/>
          <w:szCs w:val="28"/>
          <w:highlight w:val="none"/>
        </w:rPr>
        <w:t xml:space="preserve">13、技术要求响应及偏离表、商务要求响应及偏离表</w:t>
      </w:r>
      <w:r/>
    </w:p>
    <w:p>
      <w:pPr>
        <w:ind w:firstLine="480"/>
        <w:spacing w:line="360" w:lineRule="auto"/>
        <w:rPr>
          <w:rFonts w:hint="eastAsia" w:ascii="仿宋" w:hAnsi="仿宋" w:eastAsia="仿宋" w:cs="宋体"/>
          <w:color w:val="auto"/>
          <w:sz w:val="28"/>
          <w:szCs w:val="28"/>
          <w:highlight w:val="none"/>
          <w:lang w:val="zh-CN"/>
        </w:rPr>
      </w:pPr>
      <w:r>
        <w:rPr>
          <w:rFonts w:ascii="仿宋" w:hAnsi="仿宋" w:eastAsia="仿宋" w:cs="宋体"/>
          <w:bCs/>
          <w:color w:val="auto"/>
          <w:sz w:val="28"/>
          <w:szCs w:val="28"/>
          <w:highlight w:val="none"/>
          <w:lang w:val="zh-CN"/>
        </w:rPr>
        <w:t xml:space="preserve">1</w:t>
      </w:r>
      <w:r>
        <w:rPr>
          <w:rFonts w:hint="eastAsia" w:ascii="仿宋" w:hAnsi="仿宋" w:eastAsia="仿宋" w:cs="宋体"/>
          <w:bCs/>
          <w:color w:val="auto"/>
          <w:sz w:val="28"/>
          <w:szCs w:val="28"/>
          <w:highlight w:val="none"/>
          <w:lang w:val="zh-CN"/>
        </w:rPr>
        <w:t xml:space="preserve">3</w:t>
      </w:r>
      <w:r>
        <w:rPr>
          <w:rFonts w:ascii="仿宋" w:hAnsi="仿宋" w:eastAsia="仿宋" w:cs="宋体"/>
          <w:bCs/>
          <w:color w:val="auto"/>
          <w:sz w:val="28"/>
          <w:szCs w:val="28"/>
          <w:highlight w:val="none"/>
          <w:lang w:val="zh-CN"/>
        </w:rPr>
        <w:t xml:space="preserve">.1</w:t>
      </w:r>
      <w:r>
        <w:rPr>
          <w:rFonts w:hint="eastAsia" w:ascii="仿宋" w:hAnsi="仿宋" w:eastAsia="仿宋" w:cs="宋体"/>
          <w:color w:val="auto"/>
          <w:sz w:val="28"/>
          <w:szCs w:val="28"/>
          <w:highlight w:val="none"/>
          <w:lang w:val="zh-CN"/>
        </w:rPr>
        <w:t xml:space="preserve">投标人需对招标文件中的技术要求与商务要求逐项作出响应或偏离，并说明原因。</w:t>
      </w:r>
      <w:r/>
    </w:p>
    <w:p>
      <w:pPr>
        <w:ind w:firstLine="480"/>
        <w:spacing w:line="360" w:lineRule="auto"/>
        <w:rPr>
          <w:rFonts w:hint="eastAsia"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13.2投标人需按照招标文件要求，在投标文件中提供与技术要求和商务要求相关的证明材料。</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14、服务承诺、培训计划、人员安排及其他</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14.1</w:t>
      </w:r>
      <w:r>
        <w:rPr>
          <w:rFonts w:hint="eastAsia" w:ascii="仿宋" w:hAnsi="仿宋" w:eastAsia="仿宋"/>
          <w:color w:val="auto"/>
          <w:sz w:val="28"/>
          <w:szCs w:val="28"/>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14.2投标人需根据招标文件要求提供培训计划。</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14.3投标人需根据招标文件要求提供</w:t>
      </w:r>
      <w:r>
        <w:rPr>
          <w:rFonts w:hint="eastAsia" w:ascii="仿宋" w:hAnsi="仿宋" w:eastAsia="仿宋" w:cs="宋体"/>
          <w:color w:val="auto"/>
          <w:sz w:val="28"/>
          <w:szCs w:val="28"/>
          <w:highlight w:val="none"/>
          <w:lang w:val="zh-CN"/>
        </w:rPr>
        <w:t xml:space="preserve">所投标的的主要组成部分、功能设计、实现思路及关键技术等。</w:t>
      </w:r>
      <w:r/>
    </w:p>
    <w:p>
      <w:pPr>
        <w:keepLines/>
        <w:keepNext/>
        <w:spacing w:line="360" w:lineRule="auto"/>
        <w:rPr>
          <w:rFonts w:hint="eastAsia" w:ascii="仿宋" w:hAnsi="仿宋" w:eastAsia="仿宋" w:cs="Arial"/>
          <w:b/>
          <w:bCs/>
          <w:color w:val="auto"/>
          <w:sz w:val="28"/>
          <w:szCs w:val="28"/>
          <w:highlight w:val="none"/>
        </w:rPr>
        <w:outlineLvl w:val="3"/>
      </w:pPr>
      <w:r/>
      <w:bookmarkStart w:id="112" w:name="_Toc49090510"/>
      <w:r/>
      <w:bookmarkStart w:id="113" w:name="_Toc14577359"/>
      <w:r>
        <w:rPr>
          <w:rFonts w:hint="eastAsia" w:ascii="仿宋" w:hAnsi="仿宋" w:eastAsia="仿宋" w:cs="Arial"/>
          <w:b/>
          <w:bCs/>
          <w:color w:val="auto"/>
          <w:sz w:val="28"/>
          <w:szCs w:val="28"/>
          <w:highlight w:val="none"/>
        </w:rPr>
        <w:t xml:space="preserve">15、投标函和开标一览表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15.1</w:t>
      </w:r>
      <w:r>
        <w:rPr>
          <w:rFonts w:hint="eastAsia" w:ascii="仿宋" w:hAnsi="仿宋" w:eastAsia="仿宋"/>
          <w:color w:val="auto"/>
          <w:sz w:val="28"/>
          <w:szCs w:val="28"/>
          <w:highlight w:val="none"/>
        </w:rPr>
        <w:t xml:space="preserve">投标人应按照招标文件中提供的格式完整、正确填写投标函、开标一览表。</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15.2对于采用货币报价的项目，开标一览表中的投标总报价应与分项报价表中的投标总报价一致，如不一致，不作为无效投标处理，但评标时按开标一览表中价格为准。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spacing w:line="360" w:lineRule="auto"/>
        <w:rPr>
          <w:rFonts w:hint="eastAsia" w:ascii="仿宋" w:hAnsi="仿宋" w:eastAsia="仿宋" w:cs="Arial"/>
          <w:b/>
          <w:bCs/>
          <w:color w:val="auto"/>
          <w:sz w:val="28"/>
          <w:szCs w:val="28"/>
          <w:highlight w:val="none"/>
        </w:rPr>
        <w:outlineLvl w:val="3"/>
      </w:pPr>
      <w:r/>
      <w:bookmarkStart w:id="114" w:name="_Toc14577360"/>
      <w:r/>
      <w:bookmarkStart w:id="115" w:name="_Toc49090511"/>
      <w:r>
        <w:rPr>
          <w:rFonts w:hint="eastAsia" w:ascii="仿宋" w:hAnsi="仿宋" w:eastAsia="仿宋" w:cs="Arial"/>
          <w:b/>
          <w:bCs/>
          <w:color w:val="auto"/>
          <w:sz w:val="28"/>
          <w:szCs w:val="28"/>
          <w:highlight w:val="none"/>
        </w:rPr>
        <w:t xml:space="preserve">16、投标有效期</w:t>
      </w:r>
      <w:bookmarkEnd w:id="114"/>
      <w:r/>
      <w:bookmarkEnd w:id="115"/>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16.1投标有效期为交易中心规定的开标之日后</w:t>
      </w:r>
      <w:r>
        <w:rPr>
          <w:rFonts w:hint="eastAsia" w:ascii="仿宋" w:hAnsi="仿宋" w:eastAsia="仿宋"/>
          <w:bCs/>
          <w:color w:val="auto"/>
          <w:sz w:val="28"/>
          <w:szCs w:val="28"/>
          <w:highlight w:val="none"/>
          <w:u w:val="single"/>
        </w:rPr>
        <w:t xml:space="preserve">九十天</w:t>
      </w:r>
      <w:r>
        <w:rPr>
          <w:rFonts w:hint="eastAsia" w:ascii="仿宋" w:hAnsi="仿宋" w:eastAsia="仿宋"/>
          <w:color w:val="auto"/>
          <w:sz w:val="28"/>
          <w:szCs w:val="28"/>
          <w:highlight w:val="none"/>
          <w:u w:val="single"/>
        </w:rPr>
        <w:t xml:space="preserve">（90）天</w:t>
      </w:r>
      <w:r>
        <w:rPr>
          <w:rFonts w:hint="eastAsia" w:ascii="仿宋" w:hAnsi="仿宋" w:eastAsia="仿宋"/>
          <w:bCs/>
          <w:color w:val="auto"/>
          <w:sz w:val="28"/>
          <w:szCs w:val="28"/>
          <w:highlight w:val="none"/>
        </w:rPr>
        <w:t xml:space="preserve">。投标有效期比规定短的将被视为未实质性响应招标文件而予以拒绝。</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1</w:t>
      </w:r>
      <w:r>
        <w:rPr>
          <w:rFonts w:ascii="仿宋" w:hAnsi="仿宋" w:eastAsia="仿宋" w:cs="Arial"/>
          <w:b/>
          <w:bCs/>
          <w:color w:val="auto"/>
          <w:sz w:val="28"/>
          <w:szCs w:val="28"/>
          <w:highlight w:val="none"/>
        </w:rPr>
        <w:t xml:space="preserve">7</w:t>
      </w:r>
      <w:r>
        <w:rPr>
          <w:rFonts w:hint="eastAsia" w:ascii="仿宋" w:hAnsi="仿宋" w:eastAsia="仿宋" w:cs="Arial"/>
          <w:b/>
          <w:bCs/>
          <w:color w:val="auto"/>
          <w:sz w:val="28"/>
          <w:szCs w:val="28"/>
          <w:highlight w:val="none"/>
        </w:rPr>
        <w:t xml:space="preserve">、投标有效期的延长</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仿宋" w:hAnsi="仿宋" w:eastAsia="仿宋"/>
          <w:color w:val="auto"/>
          <w:sz w:val="28"/>
          <w:szCs w:val="28"/>
          <w:highlight w:val="none"/>
        </w:rPr>
        <w:t xml:space="preserve">受投标有效期约束的所有权利与义务均延长至新的有效期</w:t>
      </w:r>
      <w:r>
        <w:rPr>
          <w:rFonts w:hint="eastAsia" w:ascii="仿宋" w:hAnsi="仿宋" w:eastAsia="仿宋"/>
          <w:bCs/>
          <w:color w:val="auto"/>
          <w:sz w:val="28"/>
          <w:szCs w:val="28"/>
          <w:highlight w:val="none"/>
        </w:rPr>
        <w:t xml:space="preserve">。</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16" w:name="_Hlt26954852"/>
      <w:r/>
      <w:bookmarkEnd w:id="116"/>
      <w:r/>
      <w:bookmarkStart w:id="117" w:name="_Hlt26954739"/>
      <w:r/>
      <w:bookmarkEnd w:id="117"/>
      <w:r/>
      <w:bookmarkStart w:id="118" w:name="_Toc120614217"/>
      <w:r/>
      <w:bookmarkStart w:id="119" w:name="_Toc513029224"/>
      <w:r/>
      <w:bookmarkStart w:id="120" w:name="_Toc20823296"/>
      <w:r/>
      <w:bookmarkStart w:id="121" w:name="_Toc16938540"/>
      <w:r>
        <w:rPr>
          <w:rFonts w:hint="eastAsia" w:ascii="仿宋" w:hAnsi="仿宋" w:eastAsia="仿宋"/>
          <w:b/>
          <w:bCs/>
          <w:color w:val="auto"/>
          <w:sz w:val="28"/>
          <w:szCs w:val="28"/>
          <w:highlight w:val="none"/>
        </w:rPr>
        <w:t xml:space="preserve">四、投标文件的递交</w:t>
      </w:r>
      <w:bookmarkEnd w:id="118"/>
      <w:r/>
      <w:bookmarkEnd w:id="119"/>
      <w:r/>
      <w:bookmarkEnd w:id="120"/>
      <w:r/>
      <w:bookmarkEnd w:id="121"/>
      <w:r/>
      <w:r/>
    </w:p>
    <w:p>
      <w:pPr>
        <w:keepLines/>
        <w:keepNext/>
        <w:spacing w:line="360" w:lineRule="auto"/>
        <w:rPr>
          <w:rFonts w:hint="eastAsia" w:ascii="仿宋" w:hAnsi="仿宋" w:eastAsia="仿宋"/>
          <w:b/>
          <w:color w:val="auto"/>
          <w:sz w:val="28"/>
          <w:szCs w:val="28"/>
          <w:highlight w:val="none"/>
        </w:rPr>
        <w:outlineLvl w:val="3"/>
      </w:pPr>
      <w:r/>
      <w:bookmarkStart w:id="122" w:name="_Toc16938541"/>
      <w:r/>
      <w:bookmarkStart w:id="123" w:name="_Toc20823297"/>
      <w:r/>
      <w:bookmarkStart w:id="124" w:name="_Toc513029225"/>
      <w:r/>
      <w:bookmarkStart w:id="125" w:name="_Toc462564084"/>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8</w:t>
      </w:r>
      <w:r>
        <w:rPr>
          <w:rFonts w:hint="eastAsia" w:ascii="仿宋" w:hAnsi="仿宋" w:eastAsia="仿宋"/>
          <w:b/>
          <w:color w:val="auto"/>
          <w:sz w:val="28"/>
          <w:szCs w:val="28"/>
          <w:highlight w:val="none"/>
        </w:rPr>
        <w:t xml:space="preserve">、电子投标文件</w:t>
      </w:r>
      <w:bookmarkEnd w:id="122"/>
      <w:r/>
      <w:bookmarkEnd w:id="123"/>
      <w:r/>
      <w:bookmarkEnd w:id="124"/>
      <w:r/>
      <w:bookmarkEnd w:id="125"/>
      <w:r>
        <w:rPr>
          <w:rFonts w:hint="eastAsia" w:ascii="仿宋" w:hAnsi="仿宋" w:eastAsia="仿宋"/>
          <w:b/>
          <w:color w:val="auto"/>
          <w:sz w:val="28"/>
          <w:szCs w:val="28"/>
          <w:highlight w:val="none"/>
        </w:rPr>
        <w:t xml:space="preserve">的递交</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18.1投标人应当按照《操作手册》规定，在投标截止时间前</w:t>
      </w:r>
      <w:r>
        <w:rPr>
          <w:rFonts w:ascii="仿宋" w:hAnsi="仿宋" w:eastAsia="仿宋"/>
          <w:bCs/>
          <w:color w:val="auto"/>
          <w:sz w:val="28"/>
          <w:szCs w:val="28"/>
          <w:highlight w:val="none"/>
        </w:rPr>
        <w:t xml:space="preserve">制作</w:t>
      </w:r>
      <w:r>
        <w:rPr>
          <w:rFonts w:hint="eastAsia" w:ascii="仿宋" w:hAnsi="仿宋" w:eastAsia="仿宋"/>
          <w:bCs/>
          <w:color w:val="auto"/>
          <w:sz w:val="28"/>
          <w:szCs w:val="28"/>
          <w:highlight w:val="none"/>
        </w:rPr>
        <w:t xml:space="preserve">并上传电子投标文件。</w:t>
      </w:r>
      <w:bookmarkStart w:id="126" w:name="_Toc16938542"/>
      <w:r/>
      <w:bookmarkStart w:id="127" w:name="_Toc513029226"/>
      <w:r/>
      <w:bookmarkStart w:id="128" w:name="_Toc20823298"/>
      <w:r/>
      <w:r/>
    </w:p>
    <w:p>
      <w:pPr>
        <w:keepLines/>
        <w:keepNext/>
        <w:spacing w:line="360" w:lineRule="auto"/>
        <w:rPr>
          <w:rFonts w:hint="eastAsia" w:ascii="仿宋" w:hAnsi="仿宋" w:eastAsia="仿宋"/>
          <w:b/>
          <w:color w:val="auto"/>
          <w:sz w:val="28"/>
          <w:szCs w:val="28"/>
          <w:highlight w:val="none"/>
        </w:rPr>
        <w:outlineLvl w:val="3"/>
      </w:pPr>
      <w:r>
        <w:rPr>
          <w:rFonts w:ascii="仿宋" w:hAnsi="仿宋" w:eastAsia="仿宋"/>
          <w:b/>
          <w:color w:val="auto"/>
          <w:sz w:val="28"/>
          <w:szCs w:val="28"/>
          <w:highlight w:val="none"/>
        </w:rPr>
        <w:t xml:space="preserve">19</w:t>
      </w:r>
      <w:r>
        <w:rPr>
          <w:rFonts w:hint="eastAsia" w:ascii="仿宋" w:hAnsi="仿宋" w:eastAsia="仿宋"/>
          <w:b/>
          <w:color w:val="auto"/>
          <w:sz w:val="28"/>
          <w:szCs w:val="28"/>
          <w:highlight w:val="none"/>
        </w:rPr>
        <w:t xml:space="preserve">、投标截止日期</w:t>
      </w:r>
      <w:bookmarkEnd w:id="126"/>
      <w:r/>
      <w:bookmarkEnd w:id="127"/>
      <w:r/>
      <w:bookmarkEnd w:id="128"/>
      <w:r/>
      <w:r/>
    </w:p>
    <w:p>
      <w:pPr>
        <w:ind w:firstLine="562"/>
        <w:spacing w:line="360" w:lineRule="auto"/>
        <w:rPr>
          <w:rFonts w:hint="eastAsia" w:ascii="仿宋" w:hAnsi="仿宋" w:eastAsia="仿宋"/>
          <w:b/>
          <w:bCs/>
          <w:color w:val="auto"/>
          <w:sz w:val="28"/>
          <w:szCs w:val="28"/>
          <w:highlight w:val="none"/>
          <w:u w:val="single"/>
        </w:rPr>
      </w:pPr>
      <w:r>
        <w:rPr>
          <w:rFonts w:ascii="仿宋" w:hAnsi="仿宋" w:eastAsia="仿宋"/>
          <w:b/>
          <w:color w:val="auto"/>
          <w:sz w:val="28"/>
          <w:szCs w:val="28"/>
          <w:highlight w:val="none"/>
          <w:u w:val="single"/>
        </w:rPr>
        <w:t xml:space="preserve">19</w:t>
      </w:r>
      <w:r>
        <w:rPr>
          <w:rFonts w:hint="eastAsia" w:ascii="仿宋" w:hAnsi="仿宋" w:eastAsia="仿宋"/>
          <w:b/>
          <w:color w:val="auto"/>
          <w:sz w:val="28"/>
          <w:szCs w:val="28"/>
          <w:highlight w:val="none"/>
          <w:u w:val="single"/>
        </w:rPr>
        <w:t xml:space="preserve">.1</w:t>
      </w:r>
      <w:r>
        <w:rPr>
          <w:rFonts w:hint="eastAsia" w:ascii="仿宋" w:hAnsi="仿宋" w:eastAsia="仿宋"/>
          <w:b/>
          <w:bCs/>
          <w:color w:val="auto"/>
          <w:sz w:val="28"/>
          <w:szCs w:val="28"/>
          <w:highlight w:val="none"/>
          <w:u w:val="single"/>
        </w:rPr>
        <w:t xml:space="preserve">投标人上传电子投标文件的时间不得迟于招标公告中规定的投标截止时间。</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投标人应充分考虑到网络环境、网络带宽等风险因素，如因投标人自身原因造成电子投标文件上传不成功的，按照本招标文件第二章第27.1.2条规定做无效投标处理。</w:t>
      </w:r>
      <w:r/>
    </w:p>
    <w:p>
      <w:pPr>
        <w:ind w:firstLine="560"/>
        <w:spacing w:line="360" w:lineRule="auto"/>
        <w:rPr>
          <w:rFonts w:hint="eastAsia" w:ascii="仿宋" w:hAnsi="仿宋" w:eastAsia="仿宋"/>
          <w:bCs/>
          <w:color w:val="auto"/>
          <w:sz w:val="28"/>
          <w:szCs w:val="28"/>
          <w:highlight w:val="none"/>
        </w:rPr>
      </w:pPr>
      <w:r>
        <w:rPr>
          <w:rFonts w:ascii="仿宋" w:hAnsi="仿宋" w:eastAsia="仿宋"/>
          <w:color w:val="auto"/>
          <w:sz w:val="28"/>
          <w:szCs w:val="28"/>
          <w:highlight w:val="none"/>
        </w:rPr>
        <w:t xml:space="preserve">19</w:t>
      </w:r>
      <w:r>
        <w:rPr>
          <w:rFonts w:hint="eastAsia" w:ascii="仿宋" w:hAnsi="仿宋" w:eastAsia="仿宋"/>
          <w:color w:val="auto"/>
          <w:sz w:val="28"/>
          <w:szCs w:val="28"/>
          <w:highlight w:val="none"/>
        </w:rPr>
        <w:t xml:space="preserve">.2</w:t>
      </w:r>
      <w:r>
        <w:rPr>
          <w:rFonts w:hint="eastAsia" w:ascii="仿宋" w:hAnsi="仿宋" w:eastAsia="仿宋"/>
          <w:bCs/>
          <w:color w:val="auto"/>
          <w:sz w:val="28"/>
          <w:szCs w:val="28"/>
          <w:highlight w:val="none"/>
        </w:rPr>
        <w:t xml:space="preserve">交易中心可以按照规定，通过修改招标文件酌情延长投标截止日期，在此情况下，投标人的所有权利和义务以及投标人受制的截止日期均应以延长后新的截止日期为准。</w:t>
      </w:r>
      <w:r/>
    </w:p>
    <w:p>
      <w:pPr>
        <w:keepLines/>
        <w:keepNext/>
        <w:spacing w:line="360" w:lineRule="auto"/>
        <w:rPr>
          <w:rFonts w:hint="eastAsia" w:ascii="仿宋" w:hAnsi="仿宋" w:eastAsia="仿宋" w:cs="Arial"/>
          <w:b/>
          <w:bCs/>
          <w:color w:val="auto"/>
          <w:sz w:val="28"/>
          <w:szCs w:val="28"/>
          <w:highlight w:val="none"/>
        </w:rPr>
        <w:outlineLvl w:val="3"/>
      </w:pPr>
      <w:r/>
      <w:bookmarkStart w:id="129" w:name="_Toc513029227"/>
      <w:r/>
      <w:bookmarkStart w:id="130" w:name="_Toc20823299"/>
      <w:r/>
      <w:bookmarkStart w:id="131" w:name="_Toc16938543"/>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0</w:t>
      </w:r>
      <w:r>
        <w:rPr>
          <w:rFonts w:hint="eastAsia" w:ascii="仿宋" w:hAnsi="仿宋" w:eastAsia="仿宋" w:cs="Arial"/>
          <w:b/>
          <w:bCs/>
          <w:color w:val="auto"/>
          <w:sz w:val="28"/>
          <w:szCs w:val="28"/>
          <w:highlight w:val="none"/>
        </w:rPr>
        <w:t xml:space="preserve">、投标文件</w:t>
      </w:r>
      <w:bookmarkEnd w:id="129"/>
      <w:r/>
      <w:bookmarkEnd w:id="130"/>
      <w:r/>
      <w:bookmarkEnd w:id="131"/>
      <w:r>
        <w:rPr>
          <w:rFonts w:hint="eastAsia" w:ascii="仿宋" w:hAnsi="仿宋" w:eastAsia="仿宋" w:cs="Arial"/>
          <w:b/>
          <w:bCs/>
          <w:color w:val="auto"/>
          <w:sz w:val="28"/>
          <w:szCs w:val="28"/>
          <w:highlight w:val="none"/>
        </w:rPr>
        <w:t xml:space="preserve">的拒收</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20.1交易中心拒绝接收在其规定的投标截止时间后上传的任何投标文件。</w:t>
      </w:r>
      <w:r/>
    </w:p>
    <w:p>
      <w:pPr>
        <w:keepLines/>
        <w:keepNext/>
        <w:spacing w:line="360" w:lineRule="auto"/>
        <w:rPr>
          <w:rFonts w:hint="eastAsia" w:ascii="仿宋" w:hAnsi="仿宋" w:eastAsia="仿宋" w:cs="Arial"/>
          <w:b/>
          <w:bCs/>
          <w:color w:val="auto"/>
          <w:sz w:val="28"/>
          <w:szCs w:val="28"/>
          <w:highlight w:val="none"/>
        </w:rPr>
        <w:outlineLvl w:val="3"/>
      </w:pPr>
      <w:r/>
      <w:bookmarkStart w:id="132" w:name="_Toc513029228"/>
      <w:r/>
      <w:bookmarkStart w:id="133" w:name="_Toc20823300"/>
      <w:r/>
      <w:bookmarkStart w:id="134" w:name="_Toc16938544"/>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1</w:t>
      </w:r>
      <w:r>
        <w:rPr>
          <w:rFonts w:hint="eastAsia" w:ascii="仿宋" w:hAnsi="仿宋" w:eastAsia="仿宋" w:cs="Arial"/>
          <w:b/>
          <w:bCs/>
          <w:color w:val="auto"/>
          <w:sz w:val="28"/>
          <w:szCs w:val="28"/>
          <w:highlight w:val="none"/>
        </w:rPr>
        <w:t xml:space="preserve">、投标文件的撤回和修改</w:t>
      </w:r>
      <w:bookmarkEnd w:id="132"/>
      <w:r/>
      <w:bookmarkEnd w:id="133"/>
      <w:r/>
      <w:bookmarkEnd w:id="134"/>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.1.1电子投标文件的撤回</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投标人可在投标截止时间前，撤回其电子投标文件，具体操作方法见《操作手册》。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投标人撤回电子投标文件，则认为其不再参与本项目投标活动。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.2投标文件的修改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21.2.1投标人可在投标截止时间前，对其电子投标文件进行修改，具体操作方法见《操作手册》。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2.2</w:t>
      </w:r>
      <w:r>
        <w:rPr>
          <w:rFonts w:hint="eastAsia" w:ascii="仿宋" w:hAnsi="仿宋" w:eastAsia="仿宋"/>
          <w:bCs/>
          <w:color w:val="auto"/>
          <w:sz w:val="28"/>
          <w:szCs w:val="28"/>
          <w:highlight w:val="none"/>
        </w:rPr>
        <w:t xml:space="preserve">在投标截止时间之后，投标人不得对其电子投标文件作任何修改。</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在投标截止时间至招标文件中规定的投标有效期满之间的这段时间内，投标人不得撤回其投标。</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35" w:name="_Toc513029229"/>
      <w:r/>
      <w:bookmarkStart w:id="136" w:name="_Toc16938545"/>
      <w:r/>
      <w:bookmarkStart w:id="137" w:name="_Toc20823301"/>
      <w:r/>
      <w:bookmarkStart w:id="138" w:name="_Toc120614218"/>
      <w:r>
        <w:rPr>
          <w:rFonts w:hint="eastAsia" w:ascii="仿宋" w:hAnsi="仿宋" w:eastAsia="仿宋"/>
          <w:b/>
          <w:bCs/>
          <w:color w:val="auto"/>
          <w:sz w:val="28"/>
          <w:szCs w:val="28"/>
          <w:highlight w:val="none"/>
        </w:rPr>
        <w:t xml:space="preserve">五、开标与评标</w:t>
      </w:r>
      <w:bookmarkEnd w:id="135"/>
      <w:r/>
      <w:bookmarkEnd w:id="136"/>
      <w:r/>
      <w:bookmarkEnd w:id="137"/>
      <w:r/>
      <w:bookmarkEnd w:id="138"/>
      <w:r/>
      <w:r/>
    </w:p>
    <w:p>
      <w:pPr>
        <w:keepLines/>
        <w:keepNext/>
        <w:spacing w:line="360" w:lineRule="auto"/>
        <w:rPr>
          <w:rFonts w:hint="eastAsia" w:ascii="仿宋" w:hAnsi="仿宋" w:eastAsia="仿宋" w:cs="Arial"/>
          <w:b/>
          <w:bCs/>
          <w:color w:val="auto"/>
          <w:sz w:val="28"/>
          <w:szCs w:val="28"/>
          <w:highlight w:val="none"/>
        </w:rPr>
        <w:outlineLvl w:val="3"/>
      </w:pPr>
      <w:r/>
      <w:bookmarkStart w:id="139" w:name="_Toc20823302"/>
      <w:r/>
      <w:bookmarkStart w:id="140" w:name="_Toc16938546"/>
      <w:r/>
      <w:bookmarkStart w:id="141" w:name="_Toc513029230"/>
      <w:r>
        <w:rPr>
          <w:rFonts w:hint="eastAsia" w:ascii="仿宋" w:hAnsi="仿宋" w:eastAsia="仿宋" w:cs="Arial"/>
          <w:b/>
          <w:bCs/>
          <w:color w:val="auto"/>
          <w:sz w:val="28"/>
          <w:szCs w:val="28"/>
          <w:highlight w:val="none"/>
        </w:rPr>
        <w:t xml:space="preserve">22、开标</w:t>
      </w:r>
      <w:bookmarkEnd w:id="139"/>
      <w:r/>
      <w:bookmarkEnd w:id="140"/>
      <w:r/>
      <w:bookmarkEnd w:id="141"/>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交易中心将在招标公告中规定的时间和地点组织公开开标</w:t>
      </w:r>
      <w:r>
        <w:rPr>
          <w:rFonts w:hint="eastAsia" w:ascii="仿宋" w:hAnsi="仿宋" w:eastAsia="仿宋"/>
          <w:color w:val="auto"/>
          <w:sz w:val="28"/>
          <w:szCs w:val="28"/>
          <w:highlight w:val="none"/>
        </w:rPr>
        <w:t xml:space="preserve">。投标人应当按照《操作手册》规定，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.2</w:t>
      </w:r>
      <w:r>
        <w:rPr>
          <w:rFonts w:hint="eastAsia" w:ascii="仿宋" w:hAnsi="仿宋" w:eastAsia="仿宋"/>
          <w:color w:val="auto"/>
          <w:sz w:val="28"/>
          <w:szCs w:val="28"/>
          <w:highlight w:val="none"/>
        </w:rPr>
        <w:t xml:space="preserve">开标仪式由交易中心组织。苏采云系统将自动对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并宣布各投标人名称和投标价格。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.3投标人在开标过程中涉及到的投标文件解密、开标结果确认等工作，应按照《操作手册》规定执行。</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spacing w:line="360" w:lineRule="auto"/>
        <w:rPr>
          <w:rFonts w:hint="eastAsia" w:ascii="仿宋" w:hAnsi="仿宋" w:eastAsia="仿宋" w:cs="Arial"/>
          <w:b/>
          <w:bCs/>
          <w:color w:val="auto"/>
          <w:sz w:val="28"/>
          <w:szCs w:val="28"/>
          <w:highlight w:val="none"/>
        </w:rPr>
        <w:outlineLvl w:val="3"/>
      </w:pPr>
      <w:r/>
      <w:bookmarkStart w:id="142" w:name="_Toc16938547"/>
      <w:r/>
      <w:bookmarkStart w:id="143" w:name="_Toc513029231"/>
      <w:r/>
      <w:bookmarkStart w:id="144" w:name="_Toc20823303"/>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3</w:t>
      </w:r>
      <w:r>
        <w:rPr>
          <w:rFonts w:hint="eastAsia" w:ascii="仿宋" w:hAnsi="仿宋" w:eastAsia="仿宋" w:cs="Arial"/>
          <w:b/>
          <w:bCs/>
          <w:color w:val="auto"/>
          <w:sz w:val="28"/>
          <w:szCs w:val="28"/>
          <w:highlight w:val="none"/>
        </w:rPr>
        <w:t xml:space="preserve">、评标委员会</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.1开标后，交易中心将立即组织评标委员会（以下简称评委会）进行评标。</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.2评委会由采购人代表和有关技术、经济等方面的专家组成，且人员构成符合政府采购有关规定。</w:t>
      </w:r>
      <w:r/>
    </w:p>
    <w:p>
      <w:pP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rPr>
        <w:t xml:space="preserve"> 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.3评委会独立工作，负责评审所有投标文件并确定中标候选人。</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4</w:t>
      </w:r>
      <w:r>
        <w:rPr>
          <w:rFonts w:hint="eastAsia" w:ascii="仿宋" w:hAnsi="仿宋" w:eastAsia="仿宋" w:cs="Arial"/>
          <w:b/>
          <w:bCs/>
          <w:color w:val="auto"/>
          <w:sz w:val="28"/>
          <w:szCs w:val="28"/>
          <w:highlight w:val="none"/>
        </w:rPr>
        <w:t xml:space="preserve">．评标过程的保密与公正</w:t>
      </w:r>
      <w:bookmarkEnd w:id="142"/>
      <w:r/>
      <w:bookmarkEnd w:id="143"/>
      <w:r/>
      <w:bookmarkEnd w:id="144"/>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凡是与审查、澄清、评价和比较投标的有关资料以及授标建议等，采购人、评委、交易中心均不得向投标人或与评标无关的其他人员透露。</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4</w:t>
      </w:r>
      <w:r>
        <w:rPr>
          <w:rFonts w:hint="eastAsia" w:ascii="仿宋" w:hAnsi="仿宋" w:eastAsia="仿宋"/>
          <w:b/>
          <w:bCs/>
          <w:color w:val="auto"/>
          <w:sz w:val="28"/>
          <w:szCs w:val="28"/>
          <w:highlight w:val="none"/>
        </w:rPr>
        <w:t xml:space="preserve">.2在评标过程中，投标人不得以任何行为影响评标过程，否则其投标文件将被作为无效投标文件。</w:t>
      </w:r>
      <w:r/>
    </w:p>
    <w:p>
      <w:pPr>
        <w:ind w:firstLine="560"/>
        <w:spacing w:line="360" w:lineRule="auto"/>
        <w:rPr>
          <w:rFonts w:hint="eastAsia" w:ascii="仿宋" w:hAnsi="仿宋" w:eastAsia="仿宋"/>
          <w:b/>
          <w:bCs/>
          <w:color w:val="auto"/>
          <w:sz w:val="28"/>
          <w:szCs w:val="28"/>
          <w:highlight w:val="none"/>
        </w:rPr>
      </w:pPr>
      <w:r>
        <w:rPr>
          <w:rFonts w:ascii="仿宋" w:hAnsi="仿宋" w:eastAsia="仿宋"/>
          <w:b/>
          <w:bCs/>
          <w:color w:val="auto"/>
          <w:sz w:val="28"/>
          <w:szCs w:val="28"/>
          <w:highlight w:val="none"/>
        </w:rPr>
        <w:t xml:space="preserve">24</w:t>
      </w:r>
      <w:r>
        <w:rPr>
          <w:rFonts w:hint="eastAsia" w:ascii="仿宋" w:hAnsi="仿宋" w:eastAsia="仿宋"/>
          <w:b/>
          <w:bCs/>
          <w:color w:val="auto"/>
          <w:sz w:val="28"/>
          <w:szCs w:val="28"/>
          <w:highlight w:val="none"/>
        </w:rPr>
        <w:t xml:space="preserve">.</w:t>
      </w:r>
      <w:r>
        <w:rPr>
          <w:rFonts w:ascii="仿宋" w:hAnsi="仿宋" w:eastAsia="仿宋"/>
          <w:b/>
          <w:bCs/>
          <w:color w:val="auto"/>
          <w:sz w:val="28"/>
          <w:szCs w:val="28"/>
          <w:highlight w:val="none"/>
        </w:rPr>
        <w:t xml:space="preserve">3</w:t>
      </w:r>
      <w:r>
        <w:rPr>
          <w:rFonts w:hint="eastAsia" w:ascii="仿宋" w:hAnsi="仿宋" w:eastAsia="仿宋"/>
          <w:b/>
          <w:bCs/>
          <w:color w:val="auto"/>
          <w:sz w:val="28"/>
          <w:szCs w:val="28"/>
          <w:highlight w:val="none"/>
        </w:rPr>
        <w:t xml:space="preserve">交易中心和评标委员会不向未中标的投标人解释未中标原因，也不公布评标过程中的相关细节。</w:t>
      </w:r>
      <w:r/>
    </w:p>
    <w:p>
      <w:pPr>
        <w:ind w:firstLine="560"/>
        <w:spacing w:line="360" w:lineRule="auto"/>
        <w:rPr>
          <w:rFonts w:hint="eastAsia" w:ascii="仿宋" w:hAnsi="仿宋" w:eastAsia="仿宋"/>
          <w:i/>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采用综合评分法的项目，未中标的投标人可于中标结果公告期限届满之日起通过苏采云系统查看自己的评审得分及排序情况。</w:t>
      </w:r>
      <w:r/>
    </w:p>
    <w:p>
      <w:pPr>
        <w:keepLines/>
        <w:keepNext/>
        <w:spacing w:line="360" w:lineRule="auto"/>
        <w:rPr>
          <w:rFonts w:hint="eastAsia" w:ascii="仿宋" w:hAnsi="仿宋" w:eastAsia="仿宋" w:cs="Arial"/>
          <w:b/>
          <w:bCs/>
          <w:color w:val="auto"/>
          <w:sz w:val="28"/>
          <w:szCs w:val="28"/>
          <w:highlight w:val="none"/>
        </w:rPr>
        <w:outlineLvl w:val="3"/>
      </w:pPr>
      <w:r/>
      <w:bookmarkStart w:id="145" w:name="_Toc16938548"/>
      <w:r/>
      <w:bookmarkStart w:id="146" w:name="_Toc513029232"/>
      <w:r/>
      <w:bookmarkStart w:id="147" w:name="_Toc20823304"/>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5</w:t>
      </w:r>
      <w:r>
        <w:rPr>
          <w:rFonts w:hint="eastAsia" w:ascii="仿宋" w:hAnsi="仿宋" w:eastAsia="仿宋" w:cs="Arial"/>
          <w:b/>
          <w:bCs/>
          <w:color w:val="auto"/>
          <w:sz w:val="28"/>
          <w:szCs w:val="28"/>
          <w:highlight w:val="none"/>
        </w:rPr>
        <w:t xml:space="preserve">．投标文件的澄清</w:t>
      </w:r>
      <w:bookmarkEnd w:id="145"/>
      <w:r/>
      <w:bookmarkEnd w:id="146"/>
      <w:r/>
      <w:bookmarkEnd w:id="147"/>
      <w:r/>
      <w:r/>
    </w:p>
    <w:p>
      <w:pPr>
        <w:ind w:firstLine="560"/>
        <w:spacing w:line="360" w:lineRule="auto"/>
        <w:rPr>
          <w:rFonts w:hint="eastAsia" w:ascii="仿宋" w:hAnsi="仿宋" w:eastAsia="仿宋"/>
          <w:color w:val="auto"/>
          <w:sz w:val="28"/>
          <w:szCs w:val="28"/>
          <w:highlight w:val="none"/>
        </w:rPr>
      </w:pPr>
      <w:r/>
      <w:bookmarkStart w:id="148" w:name="_Toc20823305"/>
      <w:r/>
      <w:bookmarkStart w:id="149" w:name="_Toc16938549"/>
      <w:r/>
      <w:bookmarkStart w:id="150" w:name="_Toc513029233"/>
      <w:r>
        <w:rPr>
          <w:rFonts w:ascii="仿宋" w:hAnsi="仿宋" w:eastAsia="仿宋"/>
          <w:color w:val="auto"/>
          <w:sz w:val="28"/>
          <w:szCs w:val="28"/>
          <w:highlight w:val="none"/>
        </w:rPr>
        <w:t xml:space="preserve">25</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，有权要求投标人作出必要的澄清、说明或者补正。</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投标人的澄清、说明或者补正不得超出投标文件的范围或者改变投标文件的实质性内容。</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评标</w:t>
      </w:r>
      <w:r>
        <w:rPr>
          <w:rFonts w:ascii="仿宋" w:hAnsi="仿宋" w:eastAsia="仿宋"/>
          <w:color w:val="auto"/>
          <w:sz w:val="28"/>
          <w:szCs w:val="28"/>
          <w:highlight w:val="none"/>
        </w:rPr>
        <w:t xml:space="preserve">委员会并非对每个投标人都做澄清要求</w:t>
      </w:r>
      <w:r>
        <w:rPr>
          <w:rFonts w:hint="eastAsia" w:ascii="仿宋" w:hAnsi="仿宋" w:eastAsia="仿宋"/>
          <w:color w:val="auto"/>
          <w:sz w:val="28"/>
          <w:szCs w:val="28"/>
          <w:highlight w:val="none"/>
        </w:rPr>
        <w:t xml:space="preserve">。</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.3接到评委会澄清、说明和补正要求的投标人如未按规定做出澄清、说明和补正，其风险由投标人自行承担。</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w:t>
      </w:r>
      <w:r>
        <w:rPr>
          <w:rFonts w:ascii="仿宋" w:hAnsi="仿宋" w:eastAsia="仿宋" w:cs="Arial"/>
          <w:b/>
          <w:bCs/>
          <w:color w:val="auto"/>
          <w:sz w:val="28"/>
          <w:szCs w:val="28"/>
          <w:highlight w:val="none"/>
        </w:rPr>
        <w:t xml:space="preserve">6</w:t>
      </w:r>
      <w:r>
        <w:rPr>
          <w:rFonts w:hint="eastAsia" w:ascii="仿宋" w:hAnsi="仿宋" w:eastAsia="仿宋" w:cs="Arial"/>
          <w:b/>
          <w:bCs/>
          <w:color w:val="auto"/>
          <w:sz w:val="28"/>
          <w:szCs w:val="28"/>
          <w:highlight w:val="none"/>
        </w:rPr>
        <w:t xml:space="preserve">、对投标文件的初审</w:t>
      </w:r>
      <w:bookmarkEnd w:id="148"/>
      <w:r/>
      <w:bookmarkEnd w:id="149"/>
      <w:r/>
      <w:bookmarkEnd w:id="150"/>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.1</w:t>
      </w:r>
      <w:r>
        <w:rPr>
          <w:rFonts w:hint="eastAsia" w:ascii="仿宋" w:hAnsi="仿宋" w:eastAsia="仿宋"/>
          <w:bCs/>
          <w:color w:val="auto"/>
          <w:sz w:val="28"/>
          <w:szCs w:val="28"/>
          <w:highlight w:val="none"/>
        </w:rPr>
        <w:t xml:space="preserve">投标文件初审分为资格审查和符合性审查。</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.1.1资格审查：依据法律法规和招标文件的规定，由采购人对投标文件中的资格证明文件进行审查。资格审查的结论，采购人以书面形式向评委会进行反馈。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spacing w:line="360" w:lineRule="auto"/>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2</w:t>
      </w:r>
      <w:r>
        <w:rPr>
          <w:rFonts w:ascii="仿宋" w:hAnsi="仿宋" w:eastAsia="仿宋"/>
          <w:b/>
          <w:bCs/>
          <w:color w:val="auto"/>
          <w:sz w:val="28"/>
          <w:szCs w:val="28"/>
          <w:highlight w:val="none"/>
        </w:rPr>
        <w:t xml:space="preserve">6</w:t>
      </w:r>
      <w:r>
        <w:rPr>
          <w:rFonts w:hint="eastAsia" w:ascii="仿宋" w:hAnsi="仿宋" w:eastAsia="仿宋"/>
          <w:b/>
          <w:bCs/>
          <w:color w:val="auto"/>
          <w:sz w:val="28"/>
          <w:szCs w:val="28"/>
          <w:highlight w:val="none"/>
        </w:rPr>
        <w:t xml:space="preserve">.1.3未通过资格审查或符合性审查的投标人，交易中心将在</w:t>
      </w:r>
      <w:r>
        <w:rPr>
          <w:rFonts w:hint="eastAsia" w:ascii="仿宋" w:hAnsi="仿宋" w:eastAsia="仿宋"/>
          <w:b/>
          <w:color w:val="auto"/>
          <w:sz w:val="28"/>
          <w:szCs w:val="28"/>
          <w:highlight w:val="none"/>
        </w:rPr>
        <w:t xml:space="preserve">苏采云系统</w:t>
      </w:r>
      <w:r>
        <w:rPr>
          <w:rFonts w:hint="eastAsia" w:ascii="仿宋" w:hAnsi="仿宋" w:eastAsia="仿宋"/>
          <w:b/>
          <w:bCs/>
          <w:color w:val="auto"/>
          <w:sz w:val="28"/>
          <w:szCs w:val="28"/>
          <w:highlight w:val="none"/>
        </w:rPr>
        <w:t xml:space="preserve">中告知未通过资格审查或符合性审查的原因，评审结束后，交易中心将不再告知未通过资格审查或符合性审查的原因。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auto"/>
          <w:sz w:val="28"/>
          <w:szCs w:val="28"/>
          <w:highlight w:val="none"/>
        </w:rPr>
        <w:t xml:space="preserve">评委决定投标文件的响应性只根据投标文件本身的内容，而不寻求外部的证据。</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.3</w:t>
      </w:r>
      <w:r>
        <w:rPr>
          <w:rFonts w:hint="eastAsia" w:ascii="仿宋" w:hAnsi="仿宋" w:eastAsia="仿宋"/>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.4</w:t>
      </w:r>
      <w:r>
        <w:rPr>
          <w:rFonts w:hint="eastAsia" w:ascii="仿宋" w:hAnsi="仿宋" w:eastAsia="仿宋"/>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（2）大写金额和小写金额不一致的，以大写金额为准。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（4）总价金额与按单价汇总金额不一致的，以单价金额计算结果为准。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同时出现两种以上错误的，按照前款规定的顺序修正。</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.5</w:t>
      </w:r>
      <w:r>
        <w:rPr>
          <w:rFonts w:hint="eastAsia" w:ascii="仿宋" w:hAnsi="仿宋" w:eastAsia="仿宋"/>
          <w:bCs/>
          <w:color w:val="auto"/>
          <w:sz w:val="28"/>
          <w:szCs w:val="28"/>
          <w:highlight w:val="none"/>
        </w:rPr>
        <w:t xml:space="preserve">评委会将按上述修正错误的方法调整投标文件中的投标报价，并</w:t>
      </w:r>
      <w:r>
        <w:rPr>
          <w:rFonts w:ascii="仿宋" w:hAnsi="仿宋" w:eastAsia="仿宋"/>
          <w:bCs/>
          <w:color w:val="auto"/>
          <w:sz w:val="28"/>
          <w:szCs w:val="28"/>
          <w:highlight w:val="none"/>
        </w:rPr>
        <w:t xml:space="preserve">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告知</w:t>
      </w:r>
      <w:r>
        <w:rPr>
          <w:rFonts w:ascii="仿宋" w:hAnsi="仿宋" w:eastAsia="仿宋"/>
          <w:bCs/>
          <w:color w:val="auto"/>
          <w:sz w:val="28"/>
          <w:szCs w:val="28"/>
          <w:highlight w:val="none"/>
        </w:rPr>
        <w:t xml:space="preserve">投标人，</w:t>
      </w:r>
      <w:r>
        <w:rPr>
          <w:rFonts w:hint="eastAsia" w:ascii="仿宋" w:hAnsi="仿宋" w:eastAsia="仿宋"/>
          <w:bCs/>
          <w:color w:val="auto"/>
          <w:sz w:val="28"/>
          <w:szCs w:val="28"/>
          <w:highlight w:val="none"/>
        </w:rPr>
        <w:t xml:space="preserve">调整后的价格应对投标人具有约束力。如果投标人不接受修正后的价格，则其投标将被拒绝。</w:t>
      </w:r>
      <w:r/>
    </w:p>
    <w:p>
      <w:pPr>
        <w:ind w:firstLine="560"/>
        <w:spacing w:line="360" w:lineRule="auto"/>
        <w:rPr>
          <w:rFonts w:hint="eastAsia" w:ascii="仿宋" w:hAnsi="仿宋" w:eastAsia="仿宋"/>
          <w:color w:val="auto"/>
          <w:sz w:val="28"/>
          <w:szCs w:val="28"/>
          <w:highlight w:val="none"/>
        </w:rPr>
      </w:pPr>
      <w:r/>
      <w:bookmarkStart w:id="151" w:name="_Toc20823306"/>
      <w:r/>
      <w:bookmarkStart w:id="152" w:name="_Toc16938550"/>
      <w:r/>
      <w:bookmarkStart w:id="153" w:name="_Toc513029234"/>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确定一个参加评标的投标人，其他投标无效。</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，其他同品牌投标人不作为中标候选人。</w:t>
      </w:r>
      <w:r/>
    </w:p>
    <w:p>
      <w:pPr>
        <w:ind w:firstLine="42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。多家投标人提供的核心产品品牌相同的，按前两款规定处理。</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.7投标人在开、评标全过程中应保持通讯畅通，及时登录苏采云系统查阅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并安排专人与交易中心及评标委员会联系。</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27、异常低价审查</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.1根据省财政厅《关于推动解决政府采购异常低价问题相关工作的通知》（苏财购</w:t>
      </w:r>
      <w:r>
        <w:rPr>
          <w:rFonts w:eastAsia="仿宋"/>
          <w:color w:val="auto"/>
          <w:sz w:val="28"/>
          <w:szCs w:val="28"/>
          <w:highlight w:val="none"/>
        </w:rPr>
        <w:t xml:space="preserve">〔2025〕62</w:t>
      </w:r>
      <w:r>
        <w:rPr>
          <w:rFonts w:ascii="仿宋" w:hAnsi="仿宋" w:eastAsia="仿宋"/>
          <w:color w:val="auto"/>
          <w:sz w:val="28"/>
          <w:szCs w:val="28"/>
          <w:highlight w:val="none"/>
        </w:rPr>
        <w:t xml:space="preserve">号）要求，评审过程中出现下列情形之一的，评审委员会应当启动异常低价投标（响应）审查程序：</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（1）投标(响应)报价低于采购项目预算50%的，即投标(响应)报价&lt;采购项目预算×50%;</w:t>
      </w:r>
      <w:r/>
    </w:p>
    <w:p>
      <w:pPr>
        <w:ind w:firstLine="560"/>
        <w:spacing w:line="360" w:lineRule="auto"/>
        <w:rPr>
          <w:rFonts w:eastAsia="仿宋"/>
          <w:color w:val="auto"/>
          <w:sz w:val="28"/>
          <w:szCs w:val="28"/>
          <w:highlight w:val="none"/>
        </w:rPr>
      </w:pPr>
      <w:r>
        <w:rPr>
          <w:rFonts w:eastAsia="仿宋"/>
          <w:color w:val="auto"/>
          <w:sz w:val="28"/>
          <w:szCs w:val="28"/>
          <w:highlight w:val="none"/>
        </w:rPr>
        <w:t xml:space="preserve">（2）投标(响应)报价低于采购项目最高限价45%的，即投标(响应)报价&lt;采购项目最高限价×45%;</w:t>
      </w:r>
      <w:r/>
    </w:p>
    <w:p>
      <w:pPr>
        <w:ind w:firstLine="560"/>
        <w:spacing w:line="360" w:lineRule="auto"/>
        <w:rPr>
          <w:rFonts w:hint="eastAsia" w:ascii="仿宋" w:hAnsi="仿宋" w:eastAsia="仿宋"/>
          <w:color w:val="auto"/>
          <w:sz w:val="28"/>
          <w:szCs w:val="28"/>
          <w:highlight w:val="none"/>
        </w:rPr>
      </w:pPr>
      <w:r>
        <w:rPr>
          <w:rFonts w:eastAsia="仿宋"/>
          <w:color w:val="auto"/>
          <w:sz w:val="28"/>
          <w:szCs w:val="28"/>
          <w:highlight w:val="none"/>
        </w:rPr>
        <w:t xml:space="preserve">（3）</w:t>
      </w:r>
      <w:r>
        <w:rPr>
          <w:rFonts w:ascii="仿宋" w:hAnsi="仿宋" w:eastAsia="仿宋"/>
          <w:color w:val="auto"/>
          <w:sz w:val="28"/>
          <w:szCs w:val="28"/>
          <w:highlight w:val="none"/>
        </w:rPr>
        <w:t xml:space="preserve">评审委员会认定的供应商报价过低、有可能影响产品质量或者不能诚信履约的其他情形。</w:t>
      </w:r>
      <w:r/>
    </w:p>
    <w:p>
      <w:pPr>
        <w:ind w:firstLine="420"/>
        <w:spacing w:line="360" w:lineRule="auto"/>
        <w:rPr>
          <w:color w:val="auto"/>
          <w:highlight w:val="none"/>
        </w:rPr>
      </w:pPr>
      <w:r>
        <w:rPr>
          <w:rFonts w:hint="eastAsia" w:ascii="仿宋" w:hAnsi="仿宋" w:eastAsia="仿宋"/>
          <w:color w:val="auto"/>
          <w:sz w:val="28"/>
          <w:szCs w:val="28"/>
          <w:highlight w:val="none"/>
        </w:rPr>
        <w:t xml:space="preserve">27</w:t>
      </w:r>
      <w:r>
        <w:rPr>
          <w:rFonts w:ascii="仿宋" w:hAnsi="仿宋" w:eastAsia="仿宋"/>
          <w:color w:val="auto"/>
          <w:sz w:val="28"/>
          <w:szCs w:val="28"/>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spacing w:line="360" w:lineRule="auto"/>
        <w:rPr>
          <w:rFonts w:hint="eastAsia" w:ascii="仿宋" w:hAnsi="仿宋" w:eastAsia="仿宋" w:cs="Arial"/>
          <w:b/>
          <w:bCs/>
          <w:color w:val="auto"/>
          <w:sz w:val="28"/>
          <w:szCs w:val="28"/>
          <w:highlight w:val="none"/>
        </w:rPr>
        <w:outlineLvl w:val="3"/>
      </w:pPr>
      <w:r>
        <w:rPr>
          <w:rFonts w:hint="eastAsia" w:ascii="仿宋" w:hAnsi="仿宋" w:eastAsia="仿宋" w:cs="Arial"/>
          <w:b/>
          <w:bCs/>
          <w:color w:val="auto"/>
          <w:sz w:val="28"/>
          <w:szCs w:val="28"/>
          <w:highlight w:val="none"/>
        </w:rPr>
        <w:t xml:space="preserve">28、</w:t>
      </w:r>
      <w:bookmarkEnd w:id="151"/>
      <w:r/>
      <w:bookmarkEnd w:id="152"/>
      <w:r/>
      <w:bookmarkEnd w:id="153"/>
      <w:r>
        <w:rPr>
          <w:rFonts w:hint="eastAsia" w:ascii="仿宋" w:hAnsi="仿宋" w:eastAsia="仿宋" w:cs="Arial"/>
          <w:b/>
          <w:bCs/>
          <w:color w:val="auto"/>
          <w:sz w:val="28"/>
          <w:szCs w:val="28"/>
          <w:highlight w:val="none"/>
        </w:rPr>
        <w:t xml:space="preserve">无效投标条款和废标条款</w:t>
      </w:r>
      <w:r/>
    </w:p>
    <w:p>
      <w:pPr>
        <w:ind w:left="479"/>
        <w:spacing w:line="360" w:lineRule="auto"/>
        <w:rPr>
          <w:rFonts w:hint="eastAsia" w:ascii="仿宋" w:hAnsi="仿宋" w:eastAsia="仿宋"/>
          <w:bCs/>
          <w:color w:val="auto"/>
          <w:sz w:val="28"/>
          <w:szCs w:val="28"/>
          <w:highlight w:val="none"/>
        </w:rPr>
      </w:pPr>
      <w:r/>
      <w:bookmarkStart w:id="154" w:name="_Toc16938551"/>
      <w:r/>
      <w:bookmarkStart w:id="155" w:name="_Toc20823307"/>
      <w:r/>
      <w:bookmarkStart w:id="156" w:name="_Toc513029235"/>
      <w:r>
        <w:rPr>
          <w:rFonts w:hint="eastAsia" w:ascii="仿宋" w:hAnsi="仿宋" w:eastAsia="仿宋"/>
          <w:bCs/>
          <w:color w:val="auto"/>
          <w:sz w:val="28"/>
          <w:szCs w:val="28"/>
          <w:highlight w:val="none"/>
        </w:rPr>
        <w:t xml:space="preserve">28.1无效投标条款</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28.1.1投标人在</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规定的时间内未成功解密电子投标文件的。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2</w:t>
      </w:r>
      <w:r>
        <w:rPr>
          <w:rFonts w:hint="eastAsia" w:ascii="仿宋" w:hAnsi="仿宋" w:eastAsia="仿宋"/>
          <w:bCs/>
          <w:color w:val="auto"/>
          <w:sz w:val="28"/>
          <w:szCs w:val="28"/>
          <w:highlight w:val="none"/>
        </w:rPr>
        <w:t xml:space="preserve"> 投标人未按照招标文件要求上传电子投标文件的。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3</w:t>
      </w:r>
      <w:r>
        <w:rPr>
          <w:rFonts w:hint="eastAsia" w:ascii="仿宋" w:hAnsi="仿宋" w:eastAsia="仿宋"/>
          <w:bCs/>
          <w:color w:val="auto"/>
          <w:sz w:val="28"/>
          <w:szCs w:val="28"/>
          <w:highlight w:val="none"/>
        </w:rPr>
        <w:t xml:space="preserve">投标人同一</w:t>
      </w:r>
      <w:r>
        <w:rPr>
          <w:rFonts w:ascii="仿宋" w:hAnsi="仿宋" w:eastAsia="仿宋"/>
          <w:bCs/>
          <w:color w:val="auto"/>
          <w:sz w:val="28"/>
          <w:szCs w:val="28"/>
          <w:highlight w:val="none"/>
        </w:rPr>
        <w:t xml:space="preserve">分包</w:t>
      </w:r>
      <w:r>
        <w:rPr>
          <w:rFonts w:hint="eastAsia" w:ascii="仿宋" w:hAnsi="仿宋" w:eastAsia="仿宋"/>
          <w:bCs/>
          <w:color w:val="auto"/>
          <w:sz w:val="28"/>
          <w:szCs w:val="28"/>
          <w:highlight w:val="none"/>
        </w:rPr>
        <w:t xml:space="preserve">提交两个</w:t>
      </w:r>
      <w:r>
        <w:rPr>
          <w:rFonts w:ascii="仿宋" w:hAnsi="仿宋" w:eastAsia="仿宋"/>
          <w:bCs/>
          <w:color w:val="auto"/>
          <w:sz w:val="28"/>
          <w:szCs w:val="28"/>
          <w:highlight w:val="none"/>
        </w:rPr>
        <w:t xml:space="preserve">（</w:t>
      </w:r>
      <w:r>
        <w:rPr>
          <w:rFonts w:hint="eastAsia" w:ascii="仿宋" w:hAnsi="仿宋" w:eastAsia="仿宋"/>
          <w:bCs/>
          <w:color w:val="auto"/>
          <w:sz w:val="28"/>
          <w:szCs w:val="28"/>
          <w:highlight w:val="none"/>
        </w:rPr>
        <w:t xml:space="preserve">含</w:t>
      </w:r>
      <w:r>
        <w:rPr>
          <w:rFonts w:ascii="仿宋" w:hAnsi="仿宋" w:eastAsia="仿宋"/>
          <w:bCs/>
          <w:color w:val="auto"/>
          <w:sz w:val="28"/>
          <w:szCs w:val="28"/>
          <w:highlight w:val="none"/>
        </w:rPr>
        <w:t xml:space="preserve">两个）</w:t>
      </w:r>
      <w:r>
        <w:rPr>
          <w:rFonts w:hint="eastAsia" w:ascii="仿宋" w:hAnsi="仿宋" w:eastAsia="仿宋"/>
          <w:bCs/>
          <w:color w:val="auto"/>
          <w:sz w:val="28"/>
          <w:szCs w:val="28"/>
          <w:highlight w:val="none"/>
        </w:rPr>
        <w:t xml:space="preserve">以上不同的</w:t>
      </w:r>
      <w:r>
        <w:rPr>
          <w:rFonts w:ascii="仿宋" w:hAnsi="仿宋" w:eastAsia="仿宋"/>
          <w:bCs/>
          <w:color w:val="auto"/>
          <w:sz w:val="28"/>
          <w:szCs w:val="28"/>
          <w:highlight w:val="none"/>
        </w:rPr>
        <w:t xml:space="preserve">投标报价的。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4</w:t>
      </w:r>
      <w:r>
        <w:rPr>
          <w:rFonts w:hint="eastAsia" w:ascii="仿宋" w:hAnsi="仿宋" w:eastAsia="仿宋"/>
          <w:bCs/>
          <w:color w:val="auto"/>
          <w:sz w:val="28"/>
          <w:szCs w:val="28"/>
          <w:highlight w:val="none"/>
        </w:rPr>
        <w:t xml:space="preserve">投标人不具备招标文件中规定资格要求的。</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5</w:t>
      </w:r>
      <w:r>
        <w:rPr>
          <w:rFonts w:hint="eastAsia" w:ascii="仿宋" w:hAnsi="仿宋" w:eastAsia="仿宋"/>
          <w:bCs/>
          <w:color w:val="auto"/>
          <w:sz w:val="28"/>
          <w:szCs w:val="28"/>
          <w:highlight w:val="none"/>
        </w:rPr>
        <w:t xml:space="preserve">投标人的报价超过了采购预算或最高限价的。</w:t>
      </w:r>
      <w:r/>
    </w:p>
    <w:p>
      <w:pPr>
        <w:ind w:firstLine="420"/>
        <w:spacing w:line="360" w:lineRule="auto"/>
        <w:rPr>
          <w:rFonts w:hint="eastAsia" w:ascii="仿宋" w:hAnsi="仿宋" w:eastAsia="仿宋"/>
          <w:bCs/>
          <w:i/>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6</w:t>
      </w:r>
      <w:r>
        <w:rPr>
          <w:rFonts w:hint="eastAsia" w:ascii="仿宋" w:hAnsi="仿宋" w:eastAsia="仿宋"/>
          <w:bCs/>
          <w:color w:val="auto"/>
          <w:sz w:val="28"/>
          <w:szCs w:val="28"/>
          <w:highlight w:val="none"/>
        </w:rPr>
        <w:t xml:space="preserve">未通过符合性审查的。</w:t>
      </w:r>
      <w:r/>
    </w:p>
    <w:p>
      <w:pPr>
        <w:ind w:firstLine="420"/>
        <w:spacing w:line="360" w:lineRule="auto"/>
        <w:rPr>
          <w:rFonts w:hint="eastAsia" w:ascii="仿宋" w:hAnsi="仿宋" w:eastAsia="仿宋"/>
          <w:b/>
          <w:bCs/>
          <w:color w:val="auto"/>
          <w:sz w:val="28"/>
          <w:szCs w:val="28"/>
          <w:highlight w:val="none"/>
          <w:u w:val="singl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7</w:t>
      </w:r>
      <w:r>
        <w:rPr>
          <w:rFonts w:hint="eastAsia" w:ascii="仿宋" w:hAnsi="仿宋" w:eastAsia="仿宋"/>
          <w:bCs/>
          <w:color w:val="auto"/>
          <w:sz w:val="28"/>
          <w:szCs w:val="28"/>
          <w:highlight w:val="none"/>
        </w:rPr>
        <w:t xml:space="preserve">不符合招标文件中规定的实质性要求的</w:t>
      </w:r>
      <w:r>
        <w:rPr>
          <w:rFonts w:hint="eastAsia" w:ascii="仿宋" w:hAnsi="仿宋" w:eastAsia="仿宋"/>
          <w:b/>
          <w:bCs/>
          <w:color w:val="auto"/>
          <w:sz w:val="28"/>
          <w:szCs w:val="28"/>
          <w:highlight w:val="none"/>
        </w:rPr>
        <w:t xml:space="preserve">（详见本招标文件第四章采购需求中</w:t>
      </w:r>
      <w:r>
        <w:rPr>
          <w:rFonts w:hint="eastAsia" w:ascii="仿宋" w:hAnsi="仿宋" w:eastAsia="仿宋"/>
          <w:b/>
          <w:color w:val="auto"/>
          <w:sz w:val="28"/>
          <w:szCs w:val="28"/>
          <w:highlight w:val="none"/>
        </w:rPr>
        <w:t xml:space="preserve">斜体且有</w:t>
      </w:r>
      <w:r>
        <w:rPr>
          <w:rFonts w:ascii="仿宋" w:hAnsi="仿宋" w:eastAsia="仿宋"/>
          <w:b/>
          <w:color w:val="auto"/>
          <w:sz w:val="28"/>
          <w:szCs w:val="28"/>
          <w:highlight w:val="none"/>
        </w:rPr>
        <w:t xml:space="preserve">下划线</w:t>
      </w:r>
      <w:r>
        <w:rPr>
          <w:rFonts w:hint="eastAsia" w:ascii="仿宋" w:hAnsi="仿宋" w:eastAsia="仿宋"/>
          <w:b/>
          <w:color w:val="auto"/>
          <w:sz w:val="28"/>
          <w:szCs w:val="28"/>
          <w:highlight w:val="none"/>
        </w:rPr>
        <w:t xml:space="preserve">部分</w:t>
      </w:r>
      <w:r>
        <w:rPr>
          <w:rFonts w:hint="eastAsia" w:ascii="仿宋" w:hAnsi="仿宋" w:eastAsia="仿宋"/>
          <w:b/>
          <w:bCs/>
          <w:color w:val="auto"/>
          <w:sz w:val="28"/>
          <w:szCs w:val="28"/>
          <w:highlight w:val="none"/>
        </w:rPr>
        <w:t xml:space="preserve">）。</w:t>
      </w:r>
      <w:r/>
    </w:p>
    <w:p>
      <w:pPr>
        <w:ind w:firstLine="42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8</w:t>
      </w:r>
      <w:r>
        <w:rPr>
          <w:rFonts w:hint="eastAsia" w:ascii="仿宋" w:hAnsi="仿宋" w:eastAsia="仿宋"/>
          <w:bCs/>
          <w:color w:val="auto"/>
          <w:sz w:val="28"/>
          <w:szCs w:val="28"/>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9</w:t>
      </w:r>
      <w:r>
        <w:rPr>
          <w:rFonts w:hint="eastAsia" w:ascii="仿宋" w:hAnsi="仿宋" w:eastAsia="仿宋"/>
          <w:bCs/>
          <w:color w:val="auto"/>
          <w:sz w:val="28"/>
          <w:szCs w:val="28"/>
          <w:highlight w:val="none"/>
        </w:rPr>
        <w:t xml:space="preserve">投标文件含有采购人不能接受的附加条件的。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w:t>
      </w:r>
      <w:r>
        <w:rPr>
          <w:rFonts w:ascii="仿宋" w:hAnsi="仿宋" w:eastAsia="仿宋"/>
          <w:bCs/>
          <w:color w:val="auto"/>
          <w:sz w:val="28"/>
          <w:szCs w:val="28"/>
          <w:highlight w:val="none"/>
        </w:rPr>
        <w:t xml:space="preserve">10</w:t>
      </w:r>
      <w:r>
        <w:rPr>
          <w:rFonts w:hint="eastAsia" w:ascii="仿宋" w:hAnsi="仿宋" w:eastAsia="仿宋"/>
          <w:bCs/>
          <w:color w:val="auto"/>
          <w:sz w:val="28"/>
          <w:szCs w:val="28"/>
          <w:highlight w:val="none"/>
        </w:rPr>
        <w:t xml:space="preserve">评标委员会认为投标人的报价明显低于其他通过符合性审查投标人的报价，有可能影响产品质量或者不能诚信履约的，将通过</w:t>
      </w:r>
      <w:r>
        <w:rPr>
          <w:rFonts w:hint="eastAsia" w:ascii="仿宋" w:hAnsi="仿宋" w:eastAsia="仿宋"/>
          <w:color w:val="auto"/>
          <w:sz w:val="28"/>
          <w:szCs w:val="28"/>
          <w:highlight w:val="none"/>
        </w:rPr>
        <w:t xml:space="preserve">苏采云系统</w:t>
      </w:r>
      <w:r>
        <w:rPr>
          <w:rFonts w:hint="eastAsia" w:ascii="仿宋" w:hAnsi="仿宋" w:eastAsia="仿宋"/>
          <w:bCs/>
          <w:color w:val="auto"/>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w:t>
      </w:r>
      <w:r>
        <w:rPr>
          <w:rFonts w:ascii="仿宋" w:hAnsi="仿宋" w:eastAsia="仿宋"/>
          <w:bCs/>
          <w:color w:val="auto"/>
          <w:sz w:val="28"/>
          <w:szCs w:val="28"/>
          <w:highlight w:val="none"/>
        </w:rPr>
        <w:t xml:space="preserve">1</w:t>
      </w:r>
      <w:r>
        <w:rPr>
          <w:rFonts w:hint="eastAsia" w:ascii="仿宋" w:hAnsi="仿宋" w:eastAsia="仿宋"/>
          <w:bCs/>
          <w:color w:val="auto"/>
          <w:sz w:val="28"/>
          <w:szCs w:val="28"/>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28.1.12投标文件未按照招标文件要求加盖CA电子公章的。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28.1.13投标人的商务技术部分得分相差异常悬殊，评标委员会一致认为得分畸低者有可能影响产品质量或者不能诚信履约的。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28.1.14启动异常低价投标审查后,投标人不提供书面说明、证明材料，或者提供的书面说明、证明材料不能证明其报价合理性的。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28.1.15其他法律、法规及本招标文件规定的属无效投标的情形。</w:t>
      </w:r>
      <w:r/>
    </w:p>
    <w:p>
      <w:pPr>
        <w:ind w:left="479"/>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28.2废标条款</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28.2.1符合专业条件的供应商或者对招标文件作实质响应的供应商不足三家的。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28.2.2出现影响采购公正的违法、违规行为的。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28.2.3因重大变故，采购任务取消的。</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28.2.4评标委员会认定招标文件存在歧义、重大缺陷导致评审工作无法进行。</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28.2.5 因</w:t>
      </w:r>
      <w:r>
        <w:rPr>
          <w:rFonts w:hint="eastAsia" w:ascii="仿宋" w:hAnsi="仿宋" w:eastAsia="仿宋"/>
          <w:color w:val="auto"/>
          <w:sz w:val="28"/>
          <w:szCs w:val="28"/>
          <w:highlight w:val="none"/>
        </w:rPr>
        <w:t xml:space="preserve">苏采云系统</w:t>
      </w:r>
      <w:r>
        <w:rPr>
          <w:rFonts w:ascii="仿宋" w:hAnsi="仿宋" w:eastAsia="仿宋"/>
          <w:bCs/>
          <w:color w:val="auto"/>
          <w:sz w:val="28"/>
          <w:szCs w:val="28"/>
          <w:highlight w:val="none"/>
        </w:rPr>
        <w:t xml:space="preserve">系统故障原因造成开标不成功</w:t>
      </w:r>
      <w:r>
        <w:rPr>
          <w:rFonts w:hint="eastAsia" w:ascii="仿宋" w:hAnsi="仿宋" w:eastAsia="仿宋"/>
          <w:bCs/>
          <w:color w:val="auto"/>
          <w:sz w:val="28"/>
          <w:szCs w:val="28"/>
          <w:highlight w:val="none"/>
        </w:rPr>
        <w:t xml:space="preserve">的</w:t>
      </w:r>
      <w:r>
        <w:rPr>
          <w:rFonts w:ascii="仿宋" w:hAnsi="仿宋" w:eastAsia="仿宋"/>
          <w:bCs/>
          <w:color w:val="auto"/>
          <w:sz w:val="28"/>
          <w:szCs w:val="28"/>
          <w:highlight w:val="none"/>
        </w:rPr>
        <w:t xml:space="preserve">。</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28.3投标截止时间结束后参加投标的供应商不足三家的处理</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28.3.1如出现投标截止时间结束后参加投标的供应商或者在评标期间对招标文件做出实质响应的供应商不足三家情况，按政府采购相关规定执行。</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57" w:name="_Toc120614219"/>
      <w:r>
        <w:rPr>
          <w:rFonts w:hint="eastAsia" w:ascii="仿宋" w:hAnsi="仿宋" w:eastAsia="仿宋"/>
          <w:b/>
          <w:bCs/>
          <w:color w:val="auto"/>
          <w:sz w:val="28"/>
          <w:szCs w:val="28"/>
          <w:highlight w:val="none"/>
        </w:rPr>
        <w:t xml:space="preserve">六、</w:t>
      </w:r>
      <w:bookmarkEnd w:id="154"/>
      <w:r/>
      <w:bookmarkEnd w:id="155"/>
      <w:r/>
      <w:bookmarkEnd w:id="156"/>
      <w:r>
        <w:rPr>
          <w:rFonts w:hint="eastAsia" w:ascii="仿宋" w:hAnsi="仿宋" w:eastAsia="仿宋"/>
          <w:b/>
          <w:bCs/>
          <w:color w:val="auto"/>
          <w:sz w:val="28"/>
          <w:szCs w:val="28"/>
          <w:highlight w:val="none"/>
        </w:rPr>
        <w:t xml:space="preserve">定标</w:t>
      </w:r>
      <w:bookmarkEnd w:id="157"/>
      <w:r/>
      <w:r/>
    </w:p>
    <w:p>
      <w:pPr>
        <w:keepLines/>
        <w:keepNext/>
        <w:spacing w:line="360" w:lineRule="auto"/>
        <w:rPr>
          <w:rFonts w:hint="eastAsia" w:ascii="仿宋" w:hAnsi="仿宋" w:eastAsia="仿宋"/>
          <w:b/>
          <w:color w:val="auto"/>
          <w:sz w:val="28"/>
          <w:szCs w:val="28"/>
          <w:highlight w:val="none"/>
        </w:rPr>
        <w:outlineLvl w:val="3"/>
      </w:pPr>
      <w:r/>
      <w:bookmarkStart w:id="158" w:name="_Toc513029238"/>
      <w:r/>
      <w:bookmarkStart w:id="159" w:name="_Toc20823310"/>
      <w:r/>
      <w:bookmarkStart w:id="160" w:name="_Toc16938554"/>
      <w:r>
        <w:rPr>
          <w:rFonts w:hint="eastAsia" w:ascii="仿宋" w:hAnsi="仿宋" w:eastAsia="仿宋"/>
          <w:b/>
          <w:color w:val="auto"/>
          <w:sz w:val="28"/>
          <w:szCs w:val="28"/>
          <w:highlight w:val="none"/>
        </w:rPr>
        <w:t xml:space="preserve">29、</w:t>
      </w:r>
      <w:bookmarkEnd w:id="158"/>
      <w:r>
        <w:rPr>
          <w:rFonts w:hint="eastAsia" w:ascii="仿宋" w:hAnsi="仿宋" w:eastAsia="仿宋"/>
          <w:b/>
          <w:color w:val="auto"/>
          <w:sz w:val="28"/>
          <w:szCs w:val="28"/>
          <w:highlight w:val="none"/>
        </w:rPr>
        <w:t xml:space="preserve">确定</w:t>
      </w:r>
      <w:bookmarkEnd w:id="159"/>
      <w:r/>
      <w:bookmarkEnd w:id="160"/>
      <w:r>
        <w:rPr>
          <w:rFonts w:hint="eastAsia" w:ascii="仿宋" w:hAnsi="仿宋" w:eastAsia="仿宋"/>
          <w:b/>
          <w:color w:val="auto"/>
          <w:sz w:val="28"/>
          <w:szCs w:val="28"/>
          <w:highlight w:val="none"/>
        </w:rPr>
        <w:t xml:space="preserve">中标单位</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29.1中标候选人的选取原则和数量见招标文件第五章规定。 </w:t>
      </w:r>
      <w:r/>
    </w:p>
    <w:p>
      <w:pPr>
        <w:ind w:firstLine="56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29.2采购人应根据评委会推荐的中标候选人确定中标人。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29.3</w:t>
      </w:r>
      <w:r>
        <w:rPr>
          <w:rFonts w:hint="eastAsia" w:ascii="仿宋" w:hAnsi="仿宋" w:eastAsia="仿宋"/>
          <w:color w:val="auto"/>
          <w:sz w:val="28"/>
          <w:szCs w:val="28"/>
          <w:highlight w:val="none"/>
        </w:rPr>
        <w:t xml:space="preserve">交易中心将在“江苏政府采购网”发布中标公告，公告期限为1个工作日。</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29.4若有充分证据证明，中标人出现下列情况之一的，一经查实，将被取消中标资格：</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29.4.1提供虚假材料谋取中标的。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29.4.2向采购人、交易中心行贿或者提供其他不正当利益的。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29.4.3属于本文件规定的无效条件，但在评标过程中又未被评委会发现的。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29.4.4与采购人或者其他供应商恶意串通的。</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29.4.5采取不正当手段诋毁、排挤其他供应商的。</w:t>
      </w:r>
      <w:r/>
    </w:p>
    <w:p>
      <w:pPr>
        <w:ind w:firstLine="560"/>
        <w:spacing w:line="360" w:lineRule="auto"/>
        <w:rPr>
          <w:rFonts w:hint="eastAsia" w:ascii="仿宋" w:hAnsi="仿宋" w:eastAsia="仿宋"/>
          <w:color w:val="auto"/>
          <w:sz w:val="28"/>
          <w:szCs w:val="28"/>
          <w:highlight w:val="none"/>
        </w:rPr>
      </w:pPr>
      <w:r/>
      <w:bookmarkStart w:id="161" w:name="_Toc200451960"/>
      <w:r>
        <w:rPr>
          <w:rFonts w:hint="eastAsia" w:ascii="仿宋" w:hAnsi="仿宋" w:eastAsia="仿宋"/>
          <w:color w:val="auto"/>
          <w:sz w:val="28"/>
          <w:szCs w:val="28"/>
          <w:highlight w:val="none"/>
        </w:rPr>
        <w:t xml:space="preserve">29.5.</w:t>
      </w:r>
      <w:r>
        <w:rPr>
          <w:rFonts w:ascii="仿宋" w:hAnsi="仿宋" w:eastAsia="仿宋" w:cs="宋体"/>
          <w:color w:val="auto"/>
          <w:sz w:val="28"/>
          <w:szCs w:val="28"/>
          <w:highlight w:val="none"/>
        </w:rPr>
        <w:t xml:space="preserve">有下列情形之一的，</w:t>
      </w:r>
      <w:r>
        <w:rPr>
          <w:rFonts w:hint="eastAsia" w:ascii="仿宋" w:hAnsi="仿宋" w:eastAsia="仿宋" w:cs="宋体"/>
          <w:color w:val="auto"/>
          <w:sz w:val="28"/>
          <w:szCs w:val="28"/>
          <w:highlight w:val="none"/>
        </w:rPr>
        <w:t xml:space="preserve">视为投标人</w:t>
      </w:r>
      <w:r>
        <w:rPr>
          <w:rFonts w:ascii="仿宋" w:hAnsi="仿宋" w:eastAsia="仿宋" w:cs="宋体"/>
          <w:color w:val="auto"/>
          <w:sz w:val="28"/>
          <w:szCs w:val="28"/>
          <w:highlight w:val="none"/>
        </w:rPr>
        <w:t xml:space="preserve">串通</w:t>
      </w:r>
      <w:r>
        <w:rPr>
          <w:rFonts w:hint="eastAsia" w:ascii="仿宋" w:hAnsi="仿宋" w:eastAsia="仿宋" w:cs="宋体"/>
          <w:color w:val="auto"/>
          <w:sz w:val="28"/>
          <w:szCs w:val="28"/>
          <w:highlight w:val="none"/>
        </w:rPr>
        <w:t xml:space="preserve">投标，投标无效：</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29.5.1不同投标人的投标文件由同一单位或者个人编制；</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29.5.2不同投标人委托同一单位或者个人办理投标事宜；</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29.5.3不同投标人的投标文件载明的项目管理成员或者联系人员为同一人；</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29.5.4不同投标人的投标文件异常一致或者投标报价呈规律性差异；</w:t>
      </w:r>
      <w:r/>
    </w:p>
    <w:p>
      <w:pPr>
        <w:keepLines/>
        <w:keepNext/>
        <w:spacing w:line="360" w:lineRule="auto"/>
        <w:rPr>
          <w:rFonts w:hint="eastAsia" w:ascii="仿宋" w:hAnsi="仿宋" w:eastAsia="仿宋"/>
          <w:b/>
          <w:color w:val="auto"/>
          <w:sz w:val="28"/>
          <w:szCs w:val="28"/>
          <w:highlight w:val="none"/>
        </w:rPr>
        <w:outlineLvl w:val="3"/>
      </w:pPr>
      <w:r>
        <w:rPr>
          <w:rFonts w:hint="eastAsia" w:ascii="仿宋" w:hAnsi="仿宋" w:eastAsia="仿宋"/>
          <w:b/>
          <w:color w:val="auto"/>
          <w:sz w:val="28"/>
          <w:szCs w:val="28"/>
          <w:highlight w:val="none"/>
        </w:rPr>
        <w:t xml:space="preserve">30、质疑处理</w:t>
      </w:r>
      <w:bookmarkEnd w:id="161"/>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30.1提出质疑的供应商应当是参与所质疑项目采购活动的供应商。潜在供应商依法获取其可质疑的采购文件的，可以对采购文件提出质疑。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697"/>
        <w:jc w:val="left"/>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30.2.1对可以质疑的采购文件提出质疑的，为收到采购文件之日或者采购文件公告期限届满之日；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30.2.2对采购过程提出质疑的，为各采购程序环节结束之日；</w:t>
      </w:r>
      <w:r>
        <w:rPr>
          <w:rFonts w:hint="eastAsia" w:ascii="仿宋" w:hAnsi="仿宋" w:eastAsia="仿宋"/>
          <w:bCs/>
          <w:color w:val="auto"/>
          <w:sz w:val="28"/>
          <w:szCs w:val="28"/>
          <w:highlight w:val="none"/>
        </w:rPr>
        <w:br/>
      </w:r>
      <w:r>
        <w:rPr>
          <w:rFonts w:hint="eastAsia" w:ascii="仿宋" w:hAnsi="仿宋" w:eastAsia="仿宋"/>
          <w:bCs/>
          <w:color w:val="auto"/>
          <w:sz w:val="28"/>
          <w:szCs w:val="28"/>
          <w:highlight w:val="none"/>
        </w:rPr>
        <w:t xml:space="preserve">　　30.2.3对中标或者成交结果提出质疑的，为中标或者成交结果公告期限届满之日。</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30.4供应商（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采购人及交易中心只接收以纸质原件形式送达的质疑,建议供应商尽量通过邮寄方式提交质疑（采购人和交易中心不接受无快递运单号的快递）。</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交易中心质疑接收部门为政策法规科（快递运单上的收件人填写“政策法规科”即可），联系地址：南通市崇川区工农路150号南通市政务中心裙楼415室，联系电话：0513-59001850。</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采购人质疑接收人及联系方式见招标文件第一章。</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 以下情形的质疑不予受理</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30.5.1内容不符合《政府采购质疑和投诉办法》第十二条规定的质疑。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30.5.2超出政府采购法定期限的质疑。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30.5.3以传真、电子邮件等方式递交的非原件形式的质疑。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30.5.4未参加投标活动的供应商或在投标活动中自身权益未受到损害的供应商所提出的质疑。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30.5.5供应商组成联合体参加投标，联合体中任何一方或多方未按要求签字、盖章、加盖公章的质疑。</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30.6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keepLines/>
        <w:keepNext/>
        <w:spacing w:line="360" w:lineRule="auto"/>
        <w:rPr>
          <w:rFonts w:hint="eastAsia" w:ascii="仿宋" w:hAnsi="仿宋" w:eastAsia="仿宋"/>
          <w:b/>
          <w:color w:val="auto"/>
          <w:sz w:val="28"/>
          <w:szCs w:val="28"/>
          <w:highlight w:val="none"/>
        </w:rPr>
        <w:outlineLvl w:val="3"/>
      </w:pPr>
      <w:r>
        <w:rPr>
          <w:rFonts w:hint="eastAsia" w:ascii="仿宋" w:hAnsi="仿宋" w:eastAsia="仿宋"/>
          <w:b/>
          <w:color w:val="auto"/>
          <w:sz w:val="28"/>
          <w:szCs w:val="28"/>
          <w:highlight w:val="none"/>
        </w:rPr>
        <w:t xml:space="preserve">31、中标通知书</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360" w:lineRule="auto"/>
        <w:rPr>
          <w:rFonts w:hint="eastAsia" w:ascii="仿宋" w:hAnsi="仿宋" w:eastAsia="仿宋"/>
          <w:b/>
          <w:bCs/>
          <w:color w:val="auto"/>
          <w:sz w:val="28"/>
          <w:szCs w:val="28"/>
          <w:highlight w:val="none"/>
        </w:rPr>
        <w:outlineLvl w:val="2"/>
      </w:pPr>
      <w:r/>
      <w:bookmarkStart w:id="162" w:name="_Toc513029236"/>
      <w:r/>
      <w:bookmarkStart w:id="163" w:name="_Toc16938552"/>
      <w:r/>
      <w:bookmarkStart w:id="164" w:name="_Toc120614220"/>
      <w:r/>
      <w:bookmarkStart w:id="165" w:name="_Toc20823308"/>
      <w:r>
        <w:rPr>
          <w:rFonts w:hint="eastAsia" w:ascii="仿宋" w:hAnsi="仿宋" w:eastAsia="仿宋"/>
          <w:b/>
          <w:bCs/>
          <w:color w:val="auto"/>
          <w:sz w:val="28"/>
          <w:szCs w:val="28"/>
          <w:highlight w:val="none"/>
        </w:rPr>
        <w:t xml:space="preserve">七、授予合同</w:t>
      </w:r>
      <w:bookmarkEnd w:id="162"/>
      <w:r/>
      <w:bookmarkEnd w:id="163"/>
      <w:r/>
      <w:bookmarkEnd w:id="164"/>
      <w:r/>
      <w:bookmarkEnd w:id="165"/>
      <w:r/>
      <w:r/>
    </w:p>
    <w:p>
      <w:pPr>
        <w:keepLines/>
        <w:keepNext/>
        <w:spacing w:line="360" w:lineRule="auto"/>
        <w:rPr>
          <w:rFonts w:hint="eastAsia" w:ascii="仿宋" w:hAnsi="仿宋" w:eastAsia="仿宋"/>
          <w:b/>
          <w:color w:val="auto"/>
          <w:sz w:val="28"/>
          <w:szCs w:val="28"/>
          <w:highlight w:val="none"/>
        </w:rPr>
        <w:outlineLvl w:val="3"/>
      </w:pPr>
      <w:r/>
      <w:bookmarkStart w:id="166" w:name="_Toc16938553"/>
      <w:r/>
      <w:bookmarkStart w:id="167" w:name="_Toc513029237"/>
      <w:r/>
      <w:bookmarkStart w:id="168" w:name="_Toc20823309"/>
      <w:r>
        <w:rPr>
          <w:rFonts w:hint="eastAsia" w:ascii="仿宋" w:hAnsi="仿宋" w:eastAsia="仿宋"/>
          <w:b/>
          <w:color w:val="auto"/>
          <w:sz w:val="28"/>
          <w:szCs w:val="28"/>
          <w:highlight w:val="none"/>
        </w:rPr>
        <w:t xml:space="preserve">32. 签订合同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32.l中标人应当在中标通知书发出之日起三十日内，按照招标文件确定的事项与采购人签订政府采购合同。</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32.2招标文件、中标人的投标文件及招标过程中有关澄清、承诺文件均应作为合同附件。</w:t>
      </w:r>
      <w:r/>
    </w:p>
    <w:p>
      <w:pPr>
        <w:ind w:firstLine="700"/>
        <w:spacing w:after="0" w:line="48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32.3签订合同后，中标人不得将合同标的进行转包。未经采购人同意，中标人也不得采用分包的形式履行合同，否则采购人有权终止合同。转包或分包造成采购人损失的，中标人应承担相应赔偿责任。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line="360" w:lineRule="auto"/>
        <w:rPr>
          <w:rFonts w:hint="eastAsia" w:ascii="仿宋" w:hAnsi="仿宋" w:eastAsia="仿宋"/>
          <w:b/>
          <w:color w:val="auto"/>
          <w:sz w:val="28"/>
          <w:szCs w:val="28"/>
          <w:highlight w:val="none"/>
        </w:rPr>
        <w:outlineLvl w:val="3"/>
      </w:pPr>
      <w:r>
        <w:rPr>
          <w:rFonts w:hint="eastAsia" w:ascii="仿宋" w:hAnsi="仿宋" w:eastAsia="仿宋"/>
          <w:b/>
          <w:color w:val="auto"/>
          <w:sz w:val="28"/>
          <w:szCs w:val="28"/>
          <w:highlight w:val="none"/>
        </w:rPr>
        <w:t xml:space="preserve">33、货物（包含与货物相关的服务）的追加</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spacing w:line="360" w:lineRule="auto"/>
        <w:rPr>
          <w:rFonts w:hint="eastAsia" w:ascii="仿宋" w:hAnsi="仿宋" w:eastAsia="仿宋"/>
          <w:b/>
          <w:color w:val="auto"/>
          <w:sz w:val="28"/>
          <w:szCs w:val="28"/>
          <w:highlight w:val="none"/>
        </w:rPr>
        <w:outlineLvl w:val="3"/>
      </w:pPr>
      <w:r>
        <w:rPr>
          <w:rFonts w:hint="eastAsia" w:ascii="仿宋" w:hAnsi="仿宋" w:eastAsia="仿宋"/>
          <w:b/>
          <w:color w:val="auto"/>
          <w:sz w:val="28"/>
          <w:szCs w:val="28"/>
          <w:highlight w:val="none"/>
        </w:rPr>
        <w:t xml:space="preserve">34、政府采购履约资金扶持政策</w:t>
      </w:r>
      <w:r/>
    </w:p>
    <w:p>
      <w:pPr>
        <w:ind w:firstLine="560"/>
        <w:spacing w:line="48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34.1</w:t>
      </w:r>
      <w:r>
        <w:rPr>
          <w:rFonts w:hint="eastAsia" w:ascii="仿宋" w:hAnsi="仿宋" w:eastAsia="仿宋"/>
          <w:bCs/>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34.2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55"/>
        <w:spacing w:line="360" w:lineRule="auto"/>
        <w:rPr>
          <w:rFonts w:ascii="黑体" w:eastAsia="黑体"/>
          <w:bCs/>
          <w:color w:val="auto"/>
          <w:sz w:val="44"/>
          <w:szCs w:val="28"/>
          <w:highlight w:val="none"/>
        </w:rPr>
      </w:pPr>
      <w:r>
        <w:rPr>
          <w:rFonts w:ascii="黑体" w:eastAsia="黑体"/>
          <w:bCs/>
          <w:color w:val="auto"/>
          <w:sz w:val="44"/>
          <w:szCs w:val="28"/>
          <w:highlight w:val="none"/>
        </w:rPr>
      </w:r>
      <w:r/>
    </w:p>
    <w:p>
      <w:pPr>
        <w:pStyle w:val="827"/>
        <w:ind w:firstLine="2642"/>
        <w:keepLines w:val="0"/>
        <w:keepNext/>
        <w:pageBreakBefore/>
        <w:spacing w:before="0" w:beforeAutospacing="0" w:after="0" w:afterAutospacing="0" w:line="279" w:lineRule="auto"/>
        <w:widowControl w:val="off"/>
        <w:rPr>
          <w:rFonts w:hint="eastAsia"/>
          <w:color w:val="auto"/>
          <w:highlight w:val="none"/>
        </w:rPr>
      </w:pPr>
      <w:r>
        <w:rPr>
          <w:rFonts w:ascii="黑体" w:eastAsia="黑体" w:cs="黑体"/>
          <w:color w:val="auto"/>
          <w:sz w:val="44"/>
          <w:szCs w:val="44"/>
          <w:highlight w:val="none"/>
        </w:rPr>
        <w:t xml:space="preserve">第三章  合同</w:t>
      </w:r>
      <w:r>
        <w:rPr>
          <w:rFonts w:hint="eastAsia" w:ascii="黑体" w:eastAsia="黑体" w:cs="黑体"/>
          <w:color w:val="auto"/>
          <w:sz w:val="44"/>
          <w:szCs w:val="44"/>
          <w:highlight w:val="none"/>
        </w:rPr>
        <w:t xml:space="preserve">文本</w:t>
      </w:r>
      <w:r/>
    </w:p>
    <w:p>
      <w:pPr>
        <w:pStyle w:val="827"/>
        <w:jc w:val="both"/>
        <w:spacing w:before="0" w:beforeAutospacing="0" w:after="0" w:afterAutospacing="0" w:line="0" w:lineRule="atLeast"/>
        <w:widowControl w:val="off"/>
        <w:rPr>
          <w:rFonts w:hint="eastAsia"/>
          <w:color w:val="auto"/>
          <w:highlight w:val="none"/>
        </w:rPr>
      </w:pPr>
      <w:r/>
      <w:bookmarkStart w:id="169" w:name="_Toc513029243"/>
      <w:r/>
      <w:bookmarkEnd w:id="169"/>
      <w:r/>
      <w:bookmarkStart w:id="170" w:name="_Toc20823315"/>
      <w:r/>
      <w:bookmarkEnd w:id="170"/>
      <w:r/>
      <w:bookmarkStart w:id="171" w:name="_Toc3995"/>
      <w:r/>
      <w:bookmarkEnd w:id="171"/>
      <w:r/>
      <w:bookmarkStart w:id="172" w:name="_Toc16938559"/>
      <w:r>
        <w:rPr>
          <w:color w:val="auto"/>
          <w:highlight w:val="none"/>
        </w:rPr>
        <w:t xml:space="preserve"> </w:t>
      </w:r>
      <w:r/>
    </w:p>
    <w:p>
      <w:pPr>
        <w:pStyle w:val="827"/>
        <w:jc w:val="center"/>
        <w:spacing w:before="0" w:beforeAutospacing="0" w:after="0" w:afterAutospacing="0"/>
        <w:widowControl w:val="off"/>
        <w:rPr>
          <w:rFonts w:hint="eastAsia"/>
          <w:color w:val="auto"/>
          <w:highlight w:val="none"/>
        </w:rPr>
      </w:pPr>
      <w:r>
        <w:rPr>
          <w:rFonts w:hint="eastAsia"/>
          <w:color w:val="auto"/>
          <w:highlight w:val="none"/>
        </w:rPr>
      </w:r>
      <w:r/>
    </w:p>
    <w:p>
      <w:pPr>
        <w:pStyle w:val="827"/>
        <w:jc w:val="center"/>
        <w:spacing w:before="0" w:beforeAutospacing="0" w:after="0" w:afterAutospacing="0"/>
        <w:widowControl w:val="off"/>
        <w:rPr>
          <w:rFonts w:hint="eastAsia"/>
          <w:color w:val="auto"/>
          <w:highlight w:val="none"/>
        </w:rPr>
      </w:pPr>
      <w:r>
        <w:rPr>
          <w:rFonts w:hint="eastAsia"/>
          <w:color w:val="auto"/>
          <w:highlight w:val="none"/>
        </w:rPr>
      </w:r>
      <w:r/>
    </w:p>
    <w:p>
      <w:pPr>
        <w:pStyle w:val="827"/>
        <w:jc w:val="center"/>
        <w:spacing w:before="0" w:beforeAutospacing="0" w:after="0" w:afterAutospacing="0"/>
        <w:widowControl w:val="off"/>
        <w:rPr>
          <w:rFonts w:hint="eastAsia"/>
          <w:color w:val="auto"/>
          <w:highlight w:val="none"/>
        </w:rPr>
      </w:pPr>
      <w:r>
        <w:rPr>
          <w:color w:val="auto"/>
          <w:highlight w:val="none"/>
        </w:rPr>
        <w:t xml:space="preserve"> </w:t>
      </w:r>
      <w:r/>
    </w:p>
    <w:p>
      <w:pPr>
        <w:pStyle w:val="827"/>
        <w:jc w:val="center"/>
        <w:spacing w:before="0" w:beforeAutospacing="0" w:after="0" w:afterAutospacing="0"/>
        <w:widowControl w:val="off"/>
        <w:rPr>
          <w:rFonts w:hint="eastAsia"/>
          <w:color w:val="auto"/>
          <w:highlight w:val="none"/>
        </w:rPr>
      </w:pPr>
      <w:r>
        <w:rPr>
          <w:color w:val="auto"/>
          <w:highlight w:val="none"/>
        </w:rPr>
        <w:t xml:space="preserve"> </w:t>
      </w:r>
      <w:r/>
    </w:p>
    <w:p>
      <w:pPr>
        <w:pStyle w:val="827"/>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财政部 政府采购货物买卖合同（试行）</w:t>
      </w:r>
      <w:r/>
    </w:p>
    <w:p>
      <w:pPr>
        <w:pStyle w:val="827"/>
        <w:jc w:val="center"/>
        <w:spacing w:before="0" w:beforeAutospacing="0" w:after="0" w:afterAutospacing="0"/>
        <w:widowControl w:val="off"/>
        <w:rPr>
          <w:rFonts w:ascii="方正仿宋_GBK" w:hAnsi="方正仿宋_GBK" w:eastAsia="方正仿宋_GBK" w:cs="方正仿宋_GBK"/>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范    本</w:t>
      </w:r>
      <w:r/>
    </w:p>
    <w:p>
      <w:pPr>
        <w:pStyle w:val="827"/>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27"/>
        <w:jc w:val="both"/>
        <w:spacing w:before="0" w:beforeAutospacing="0" w:after="0" w:afterAutospacing="0"/>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ascii="方正仿宋_GBK" w:hAnsi="方正仿宋_GBK" w:eastAsia="方正仿宋_GBK" w:cs="方正仿宋_GBK"/>
          <w:color w:val="auto"/>
          <w:sz w:val="32"/>
          <w:szCs w:val="32"/>
          <w:highlight w:val="none"/>
        </w:rPr>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项目名称：</w:t>
      </w:r>
      <w:r>
        <w:rPr>
          <w:rFonts w:hint="eastAsia" w:ascii="方正仿宋_GBK" w:hAnsi="方正仿宋_GBK" w:eastAsia="方正仿宋_GBK" w:cs="方正仿宋_GBK"/>
          <w:color w:val="auto"/>
          <w:sz w:val="32"/>
          <w:szCs w:val="32"/>
          <w:highlight w:val="none"/>
          <w:u w:val="single"/>
        </w:rPr>
        <w:t xml:space="preserve">  </w:t>
      </w:r>
      <w:r>
        <w:rPr>
          <w:rFonts w:hint="eastAsia" w:ascii="方正仿宋_GBK" w:hAnsi="方正仿宋_GBK" w:eastAsia="方正仿宋_GBK" w:cs="方正仿宋_GBK"/>
          <w:color w:val="auto"/>
          <w:sz w:val="32"/>
          <w:szCs w:val="32"/>
          <w:highlight w:val="none"/>
          <w:u w:val="single"/>
          <w:lang w:eastAsia="zh-CN"/>
        </w:rPr>
        <w:t xml:space="preserve">南通职业大学钟秀校区课桌椅采购项目（重新采购）</w:t>
      </w:r>
      <w:r>
        <w:rPr>
          <w:rFonts w:hint="eastAsia" w:ascii="方正仿宋_GBK" w:hAnsi="方正仿宋_GBK" w:eastAsia="方正仿宋_GBK" w:cs="方正仿宋_GBK"/>
          <w:color w:val="auto"/>
          <w:sz w:val="32"/>
          <w:szCs w:val="32"/>
          <w:highlight w:val="none"/>
          <w:u w:val="single"/>
        </w:rPr>
        <w:t xml:space="preserve">         </w:t>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合同编号：</w:t>
      </w:r>
      <w:r>
        <w:rPr>
          <w:rFonts w:hint="eastAsia" w:ascii="方正仿宋_GBK" w:hAnsi="方正仿宋_GBK" w:eastAsia="方正仿宋_GBK" w:cs="方正仿宋_GBK"/>
          <w:color w:val="auto"/>
          <w:sz w:val="32"/>
          <w:szCs w:val="32"/>
          <w:highlight w:val="none"/>
          <w:u w:val="single"/>
        </w:rPr>
        <w:t xml:space="preserve">                                         </w:t>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甲     方：</w:t>
      </w:r>
      <w:r>
        <w:rPr>
          <w:rFonts w:hint="eastAsia" w:ascii="方正仿宋_GBK" w:hAnsi="方正仿宋_GBK" w:eastAsia="方正仿宋_GBK" w:cs="方正仿宋_GBK"/>
          <w:color w:val="auto"/>
          <w:sz w:val="32"/>
          <w:szCs w:val="32"/>
          <w:highlight w:val="none"/>
          <w:u w:val="single"/>
        </w:rPr>
        <w:t xml:space="preserve">      南通职业大学                        </w:t>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乙     方：</w:t>
      </w:r>
      <w:r>
        <w:rPr>
          <w:rFonts w:hint="eastAsia" w:ascii="方正仿宋_GBK" w:hAnsi="方正仿宋_GBK" w:eastAsia="方正仿宋_GBK" w:cs="方正仿宋_GBK"/>
          <w:color w:val="auto"/>
          <w:sz w:val="32"/>
          <w:szCs w:val="32"/>
          <w:highlight w:val="none"/>
          <w:u w:val="single"/>
        </w:rPr>
        <w:t xml:space="preserve">                                          </w:t>
      </w:r>
      <w:r/>
    </w:p>
    <w:p>
      <w:pPr>
        <w:pStyle w:val="827"/>
        <w:ind w:left="42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签订时间：</w:t>
      </w:r>
      <w:r>
        <w:rPr>
          <w:rFonts w:hint="eastAsia" w:ascii="方正仿宋_GBK" w:hAnsi="方正仿宋_GBK" w:eastAsia="方正仿宋_GBK" w:cs="方正仿宋_GBK"/>
          <w:color w:val="auto"/>
          <w:sz w:val="32"/>
          <w:szCs w:val="32"/>
          <w:highlight w:val="none"/>
          <w:u w:val="single"/>
        </w:rPr>
        <w:t xml:space="preserve">                                         </w:t>
      </w:r>
      <w:bookmarkEnd w:id="172"/>
      <w:r/>
      <w:r/>
    </w:p>
    <w:p>
      <w:pPr>
        <w:pStyle w:val="827"/>
        <w:jc w:val="center"/>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rPr>
          <w:rFonts w:hint="eastAsia" w:ascii="方正仿宋_GBK" w:hAnsi="方正仿宋_GBK" w:eastAsia="方正仿宋_GBK" w:cs="方正仿宋_GBK"/>
          <w:color w:val="auto"/>
          <w:sz w:val="32"/>
          <w:szCs w:val="32"/>
          <w:highlight w:val="none"/>
        </w:rPr>
        <w:t xml:space="preserve">使 用 说 明</w:t>
      </w:r>
      <w:r/>
    </w:p>
    <w:p>
      <w:pPr>
        <w:pStyle w:val="827"/>
        <w:ind w:firstLine="640"/>
        <w:jc w:val="both"/>
        <w:spacing w:before="0" w:beforeAutospacing="0" w:after="0" w:afterAutospacing="0" w:line="360" w:lineRule="auto"/>
        <w:widowControl w:val="off"/>
        <w:rPr>
          <w:rFonts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t xml:space="preserve"> </w:t>
      </w:r>
      <w:r/>
    </w:p>
    <w:p>
      <w:pPr>
        <w:pStyle w:val="827"/>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1.本合同标准文本适用于购买现成货物的采购项目，不包括需要供应商定制开发、创新研发的货物采购项目。</w:t>
      </w:r>
      <w:r/>
    </w:p>
    <w:p>
      <w:pPr>
        <w:pStyle w:val="827"/>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    2.本合同标准文本为政府采购货物买卖合同编制提供参考，可以结合采购项目具体情况，对文本作必要的调整修订后使用。</w:t>
      </w:r>
      <w:r/>
    </w:p>
    <w:p>
      <w:pPr>
        <w:pStyle w:val="827"/>
        <w:ind w:firstLine="560"/>
        <w:jc w:val="both"/>
        <w:spacing w:before="0" w:beforeAutospacing="0" w:after="0" w:afterAutospacing="0" w:line="360" w:lineRule="auto"/>
        <w:widowControl w:val="off"/>
        <w:rPr>
          <w:rFonts w:ascii="Times New Roman" w:hAnsi="Times New Roman" w:eastAsia="方正仿宋_GBK" w:cs="Times New Roman"/>
          <w:color w:val="auto"/>
          <w:sz w:val="32"/>
          <w:szCs w:val="32"/>
          <w:highlight w:val="none"/>
        </w:rPr>
      </w:pPr>
      <w:r>
        <w:rPr>
          <w:rFonts w:ascii="Times New Roman" w:hAnsi="Times New Roman" w:eastAsia="方正仿宋_GBK" w:cs="Times New Roman"/>
          <w:color w:val="auto"/>
          <w:sz w:val="32"/>
          <w:szCs w:val="32"/>
          <w:highlight w:val="none"/>
        </w:rPr>
        <w:t xml:space="preserve">3.本合同标准文本各条款中，如涉及填写多家供应商、制造商，多种采购标的、分包主要内容等信息的，可根据采购项目具体情况添加信息项。</w:t>
      </w:r>
      <w:r/>
    </w:p>
    <w:p>
      <w:pPr>
        <w:rPr>
          <w:rFonts w:ascii="方正仿宋_GBK" w:hAnsi="方正仿宋_GBK" w:eastAsia="方正仿宋_GBK" w:cs="方正仿宋_GBK"/>
          <w:bCs/>
          <w:color w:val="auto"/>
          <w:sz w:val="32"/>
          <w:szCs w:val="32"/>
          <w:highlight w:val="none"/>
        </w:rPr>
      </w:pPr>
      <w:r>
        <w:rPr>
          <w:rFonts w:hint="eastAsia" w:ascii="方正仿宋_GBK" w:hAnsi="方正仿宋_GBK" w:eastAsia="方正仿宋_GBK" w:cs="方正仿宋_GBK"/>
          <w:bCs/>
          <w:color w:val="auto"/>
          <w:sz w:val="32"/>
          <w:szCs w:val="32"/>
          <w:highlight w:val="none"/>
        </w:rPr>
        <w:br w:type="page" w:clear="all"/>
      </w:r>
      <w:r/>
    </w:p>
    <w:p>
      <w:pPr>
        <w:pStyle w:val="1047"/>
        <w:spacing w:line="480" w:lineRule="exact"/>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第一节 政府采购合同协议书</w:t>
      </w:r>
      <w:r/>
    </w:p>
    <w:p>
      <w:pPr>
        <w:spacing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甲方（全称）：</w:t>
      </w:r>
      <w:r>
        <w:rPr>
          <w:rFonts w:hint="eastAsia" w:ascii="方正仿宋_GBK" w:hAnsi="方正仿宋_GBK" w:eastAsia="方正仿宋_GBK" w:cs="方正仿宋_GBK"/>
          <w:color w:val="auto"/>
          <w:sz w:val="28"/>
          <w:szCs w:val="28"/>
          <w:highlight w:val="none"/>
          <w:u w:val="single"/>
        </w:rPr>
        <w:t xml:space="preserve">    南通职业大学       </w:t>
      </w:r>
      <w:r/>
    </w:p>
    <w:p>
      <w:pPr>
        <w:spacing w:line="480" w:lineRule="exact"/>
        <w:rPr>
          <w:color w:val="auto"/>
          <w:highlight w:val="none"/>
        </w:rPr>
      </w:pPr>
      <w:r>
        <w:rPr>
          <w:rFonts w:hint="eastAsia" w:ascii="方正仿宋_GBK" w:hAnsi="方正仿宋_GBK" w:eastAsia="方正仿宋_GBK" w:cs="方正仿宋_GBK"/>
          <w:color w:val="auto"/>
          <w:sz w:val="28"/>
          <w:szCs w:val="28"/>
          <w:highlight w:val="none"/>
        </w:rPr>
        <w:t xml:space="preserve">乙方（全称）：</w:t>
      </w:r>
      <w:r>
        <w:rPr>
          <w:rFonts w:hint="eastAsia" w:ascii="方正仿宋_GBK" w:hAnsi="方正仿宋_GBK" w:eastAsia="方正仿宋_GBK" w:cs="方正仿宋_GBK"/>
          <w:color w:val="auto"/>
          <w:sz w:val="28"/>
          <w:szCs w:val="28"/>
          <w:highlight w:val="none"/>
          <w:u w:val="single"/>
        </w:rPr>
        <w:t xml:space="preserve">                       </w:t>
      </w:r>
      <w:r/>
    </w:p>
    <w:p>
      <w:pPr>
        <w:pStyle w:val="1075"/>
        <w:ind w:left="0" w:firstLine="560"/>
        <w:spacing w:after="0" w:line="48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spacing w:line="480" w:lineRule="exact"/>
        <w:tabs>
          <w:tab w:val="left" w:pos="907" w:leader="none"/>
        </w:tabs>
        <w:rPr>
          <w:rFonts w:eastAsia="方正仿宋_GBK"/>
          <w:b/>
          <w:color w:val="auto"/>
          <w:sz w:val="28"/>
          <w:szCs w:val="28"/>
          <w:highlight w:val="none"/>
        </w:rPr>
      </w:pPr>
      <w:r>
        <w:rPr>
          <w:rFonts w:eastAsia="方正仿宋_GBK"/>
          <w:b/>
          <w:color w:val="auto"/>
          <w:sz w:val="28"/>
          <w:szCs w:val="28"/>
          <w:highlight w:val="none"/>
        </w:rPr>
        <w:t xml:space="preserve">1.项目信息</w:t>
      </w:r>
      <w:r/>
    </w:p>
    <w:p>
      <w:pPr>
        <w:pStyle w:val="1075"/>
        <w:spacing w:after="0" w:line="480" w:lineRule="exact"/>
        <w:tabs>
          <w:tab w:val="left" w:pos="709" w:leader="none"/>
        </w:tabs>
        <w:rPr>
          <w:rFonts w:hint="eastAsia" w:eastAsia="方正仿宋_GBK"/>
          <w:color w:val="auto"/>
          <w:sz w:val="28"/>
          <w:szCs w:val="28"/>
          <w:highlight w:val="none"/>
          <w:u w:val="single"/>
          <w:lang w:eastAsia="zh-CN"/>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采购项目名称：</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lang w:eastAsia="zh-CN"/>
        </w:rPr>
        <w:t xml:space="preserve">南通职业大学钟秀校区课桌椅采购项目（重新采购）</w:t>
      </w:r>
      <w:r/>
    </w:p>
    <w:p>
      <w:pPr>
        <w:pStyle w:val="1075"/>
        <w:ind w:left="0"/>
        <w:spacing w:after="0" w:line="480" w:lineRule="exact"/>
        <w:tabs>
          <w:tab w:val="left" w:pos="999" w:leader="none"/>
        </w:tabs>
        <w:rPr>
          <w:rFonts w:eastAsia="方正仿宋_GBK"/>
          <w:color w:val="auto"/>
          <w:sz w:val="28"/>
          <w:szCs w:val="28"/>
          <w:highlight w:val="none"/>
        </w:rPr>
      </w:pPr>
      <w:r>
        <w:rPr>
          <w:rFonts w:eastAsia="方正仿宋_GBK"/>
          <w:color w:val="auto"/>
          <w:sz w:val="28"/>
          <w:szCs w:val="28"/>
          <w:highlight w:val="none"/>
        </w:rPr>
        <w:t xml:space="preserve">        采购项目编号：</w:t>
      </w:r>
      <w:r>
        <w:rPr>
          <w:rFonts w:eastAsia="方正仿宋_GBK"/>
          <w:color w:val="auto"/>
          <w:sz w:val="28"/>
          <w:szCs w:val="28"/>
          <w:highlight w:val="none"/>
          <w:u w:val="single"/>
        </w:rPr>
        <w:t xml:space="preserve">                       </w:t>
      </w:r>
      <w:r/>
    </w:p>
    <w:p>
      <w:pPr>
        <w:pStyle w:val="1075"/>
        <w:ind w:left="0" w:firstLine="420"/>
        <w:spacing w:after="0" w:line="480" w:lineRule="exact"/>
        <w:rPr>
          <w:rFonts w:eastAsia="方正仿宋_GBK"/>
          <w:color w:val="auto"/>
          <w:sz w:val="28"/>
          <w:szCs w:val="28"/>
          <w:highlight w:val="none"/>
        </w:rPr>
      </w:pPr>
      <w:r>
        <w:rPr>
          <w:rFonts w:eastAsia="方正仿宋_GBK"/>
          <w:color w:val="auto"/>
          <w:sz w:val="28"/>
          <w:szCs w:val="28"/>
          <w:highlight w:val="none"/>
        </w:rPr>
        <w:t xml:space="preserve">（2）采购计划编号：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（3）项目内容：</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      采购标的及数量（台/套</w:t>
      </w:r>
      <w:r>
        <w:rPr>
          <w:rFonts w:eastAsia="方正仿宋_GBK"/>
          <w:color w:val="auto"/>
          <w:sz w:val="28"/>
          <w:szCs w:val="28"/>
          <w:highlight w:val="none"/>
          <w:lang w:val="en"/>
        </w:rPr>
        <w:t xml:space="preserve">/个/架/组等</w:t>
      </w:r>
      <w:r>
        <w:rPr>
          <w:rFonts w:eastAsia="方正仿宋_GBK"/>
          <w:color w:val="auto"/>
          <w:sz w:val="28"/>
          <w:szCs w:val="28"/>
          <w:highlight w:val="none"/>
        </w:rPr>
        <w:t xml:space="preserve">）：</w:t>
      </w:r>
      <w:r/>
    </w:p>
    <w:p>
      <w:pPr>
        <w:ind w:firstLine="420"/>
        <w:spacing w:line="480" w:lineRule="exact"/>
        <w:rPr>
          <w:rFonts w:eastAsia="方正仿宋_GBK"/>
          <w:color w:val="auto"/>
          <w:sz w:val="28"/>
          <w:szCs w:val="28"/>
          <w:highlight w:val="none"/>
          <w:u w:val="single"/>
          <w:lang w:val="en"/>
        </w:rPr>
      </w:pP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lang w:val="en"/>
        </w:rPr>
        <w:t xml:space="preserve">     </w:t>
      </w:r>
      <w:r>
        <w:rPr>
          <w:rFonts w:eastAsia="方正仿宋_GBK"/>
          <w:color w:val="auto"/>
          <w:sz w:val="28"/>
          <w:szCs w:val="28"/>
          <w:highlight w:val="none"/>
        </w:rPr>
        <w:t xml:space="preserve">规格型号：</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rPr>
          <w:rFonts w:eastAsia="方正仿宋_GBK"/>
          <w:color w:val="auto"/>
          <w:sz w:val="28"/>
          <w:szCs w:val="28"/>
          <w:highlight w:val="none"/>
          <w:u w:val="single"/>
        </w:rPr>
        <w:t xml:space="preserve">       </w:t>
      </w:r>
      <w:r>
        <w:rPr>
          <w:rFonts w:eastAsia="方正仿宋_GBK"/>
          <w:color w:val="auto"/>
          <w:sz w:val="28"/>
          <w:szCs w:val="28"/>
          <w:highlight w:val="none"/>
          <w:u w:val="single"/>
          <w:lang w:val="en"/>
        </w:rPr>
        <w:t xml:space="preserve">   </w:t>
      </w:r>
      <w:r/>
    </w:p>
    <w:tbl>
      <w:tblPr>
        <w:tblStyle w:val="802"/>
        <w:tblW w:w="4582" w:type="pct"/>
        <w:tblInd w:w="42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2"/>
        <w:gridCol w:w="725"/>
        <w:gridCol w:w="2537"/>
        <w:gridCol w:w="3404"/>
        <w:gridCol w:w="918"/>
        <w:gridCol w:w="823"/>
      </w:tblGrid>
      <w:tr>
        <w:trPr>
          <w:trHeight w:val="66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人位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数量</w:t>
            </w:r>
            <w:r/>
          </w:p>
        </w:tc>
      </w:tr>
      <w:tr>
        <w:trPr>
          <w:trHeight w:val="306"/>
        </w:trPr>
        <w:tc>
          <w:tcPr>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宋体" w:hAnsi="宋体" w:cs="宋体"/>
                <w:color w:val="auto"/>
                <w:sz w:val="24"/>
                <w:szCs w:val="24"/>
                <w:highlight w:val="none"/>
                <w:lang w:bidi="ar"/>
              </w:rPr>
              <w:t xml:space="preserve">固定联排课桌椅</w:t>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课桌（前排） 853人位</w:t>
            </w:r>
            <w:r/>
          </w:p>
        </w:tc>
        <w:tc>
          <w:tcPr>
            <w:tcBorders>
              <w:top w:val="single" w:color="000000" w:sz="4" w:space="0"/>
              <w:left w:val="single" w:color="000000" w:sz="4" w:space="0"/>
              <w:right w:val="single" w:color="000000" w:sz="4" w:space="0"/>
            </w:tcBorders>
            <w:tcW w:w="918"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位</w:t>
            </w:r>
            <w:r/>
          </w:p>
        </w:tc>
        <w:tc>
          <w:tcPr>
            <w:tcBorders>
              <w:top w:val="single" w:color="000000" w:sz="4" w:space="0"/>
              <w:left w:val="single" w:color="000000" w:sz="4" w:space="0"/>
              <w:right w:val="single" w:color="000000" w:sz="4" w:space="0"/>
            </w:tcBorders>
            <w:tcW w:w="823" w:type="dxa"/>
            <w:vAlign w:val="center"/>
            <w:vMerge w:val="restart"/>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7454</w:t>
            </w:r>
            <w:r/>
          </w:p>
          <w:p>
            <w:pP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2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联排课桌椅（中排）6601人位</w:t>
            </w:r>
            <w:r/>
          </w:p>
        </w:tc>
        <w:tc>
          <w:tcPr>
            <w:tcBorders>
              <w:left w:val="single" w:color="000000" w:sz="4" w:space="0"/>
              <w:right w:val="single" w:color="000000" w:sz="4" w:space="0"/>
            </w:tcBorders>
            <w:tcW w:w="918"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right w:val="single" w:color="000000" w:sz="4" w:space="0"/>
            </w:tcBorders>
            <w:tcW w:w="823" w:type="dxa"/>
            <w:vAlign w:val="center"/>
            <w:vMerge w:val="continue"/>
            <w:textDirection w:val="lrTb"/>
            <w:noWrap w:val="false"/>
          </w:tcPr>
          <w:p>
            <w:pPr>
              <w:jc w:val="center"/>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368"/>
        </w:trPr>
        <w:tc>
          <w:tcPr>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3263" w:type="dxa"/>
            <w:vAlign w:val="center"/>
            <w:vMerge w:val="continue"/>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3404"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椅（后排）   853人位</w:t>
            </w:r>
            <w:r/>
          </w:p>
        </w:tc>
        <w:tc>
          <w:tcPr>
            <w:tcBorders>
              <w:left w:val="single" w:color="000000" w:sz="4" w:space="0"/>
              <w:bottom w:val="single" w:color="000000" w:sz="4" w:space="0"/>
              <w:right w:val="single" w:color="000000" w:sz="4" w:space="0"/>
            </w:tcBorders>
            <w:tcW w:w="918"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left w:val="single" w:color="000000" w:sz="4" w:space="0"/>
              <w:bottom w:val="single" w:color="000000" w:sz="4" w:space="0"/>
              <w:right w:val="single" w:color="000000" w:sz="4" w:space="0"/>
            </w:tcBorders>
            <w:tcW w:w="823"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r>
      <w:tr>
        <w:trPr>
          <w:trHeight w:val="25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实木凳</w:t>
            </w:r>
            <w:r/>
          </w:p>
        </w:tc>
        <w:tc>
          <w:tcPr>
            <w:tcBorders>
              <w:top w:val="single" w:color="000000"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color w:val="auto"/>
                <w:highlight w:val="none"/>
              </w:rPr>
            </w:pPr>
            <w:r>
              <w:rPr>
                <w:rFonts w:hint="eastAsia" w:ascii="宋体" w:hAnsi="宋体" w:cs="宋体"/>
                <w:color w:val="auto"/>
                <w:sz w:val="24"/>
                <w:szCs w:val="24"/>
                <w:highlight w:val="none"/>
              </w:rPr>
              <w:t xml:space="preserve">参考尺寸：长400mm×宽280mm×高440mm</w:t>
            </w:r>
            <w:r/>
          </w:p>
        </w:tc>
        <w:tc>
          <w:tcPr>
            <w:tcBorders>
              <w:top w:val="single" w:color="000000"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位</w:t>
            </w:r>
            <w:r/>
          </w:p>
        </w:tc>
        <w:tc>
          <w:tcPr>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2468</w:t>
            </w:r>
            <w:r/>
          </w:p>
        </w:tc>
      </w:tr>
      <w:tr>
        <w:trPr>
          <w:trHeight w:val="314"/>
        </w:trPr>
        <w:tc>
          <w:tcPr>
            <w:tcBorders>
              <w:top w:val="single" w:color="000000" w:sz="4" w:space="0"/>
              <w:left w:val="single" w:color="000000" w:sz="4" w:space="0"/>
              <w:right w:val="single" w:color="000000" w:sz="4" w:space="0"/>
            </w:tcBorders>
            <w:tcW w:w="723" w:type="dxa"/>
            <w:vAlign w:val="center"/>
            <w:vMerge w:val="restart"/>
            <w:textDirection w:val="lrTb"/>
            <w:noWrap w:val="false"/>
          </w:tcPr>
          <w:p>
            <w:pPr>
              <w:jc w:val="center"/>
              <w:widowControl/>
              <w:rPr>
                <w:rFonts w:hint="eastAsia" w:ascii="仿宋" w:hAnsi="仿宋" w:eastAsia="仿宋" w:cs="仿宋"/>
                <w:color w:val="auto"/>
                <w:sz w:val="24"/>
                <w:highlight w:val="none"/>
                <w:lang w:bidi="ar"/>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right w:val="single" w:color="auto" w:sz="4" w:space="0"/>
            </w:tcBorders>
            <w:tcW w:w="725" w:type="dxa"/>
            <w:vAlign w:val="center"/>
            <w:vMerge w:val="restart"/>
            <w:textDirection w:val="lrTb"/>
            <w:noWrap w:val="false"/>
          </w:tcPr>
          <w:p>
            <w:pP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录播室活动桌椅</w:t>
            </w:r>
            <w:r/>
          </w:p>
        </w:tc>
        <w:tc>
          <w:tcPr>
            <w:tcBorders>
              <w:top w:val="single" w:color="000000" w:sz="4" w:space="0"/>
              <w:left w:val="single" w:color="auto" w:sz="4" w:space="0"/>
              <w:bottom w:val="single" w:color="auto" w:sz="4" w:space="0"/>
              <w:right w:val="single" w:color="000000" w:sz="4" w:space="0"/>
            </w:tcBorders>
            <w:tcW w:w="2538" w:type="dxa"/>
            <w:vAlign w:val="center"/>
            <w:textDirection w:val="lrTb"/>
            <w:noWrap w:val="false"/>
          </w:tcPr>
          <w:p>
            <w:pPr>
              <w:ind w:left="142"/>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可组合小组课桌</w:t>
            </w:r>
            <w:r/>
          </w:p>
        </w:tc>
        <w:tc>
          <w:tcPr>
            <w:tcBorders>
              <w:top w:val="single" w:color="000000" w:sz="4" w:space="0"/>
              <w:left w:val="single" w:color="000000" w:sz="4" w:space="0"/>
              <w:bottom w:val="single" w:color="auto" w:sz="4" w:space="0"/>
              <w:right w:val="single" w:color="auto" w:sz="4" w:space="0"/>
            </w:tcBorders>
            <w:tcW w:w="3404" w:type="dxa"/>
            <w:vAlign w:val="center"/>
            <w:textDirection w:val="lrTb"/>
            <w:noWrap w:val="false"/>
          </w:tcPr>
          <w:p>
            <w:pPr>
              <w:ind w:firstLine="480"/>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参考尺寸：800mm*600mm*750mm</w:t>
            </w:r>
            <w:r/>
          </w:p>
        </w:tc>
        <w:tc>
          <w:tcPr>
            <w:tcBorders>
              <w:top w:val="single" w:color="000000" w:sz="4" w:space="0"/>
              <w:left w:val="single" w:color="auto" w:sz="4" w:space="0"/>
              <w:bottom w:val="single" w:color="auto" w:sz="4" w:space="0"/>
              <w:right w:val="single" w:color="000000" w:sz="4" w:space="0"/>
            </w:tcBorders>
            <w:tcW w:w="918" w:type="dxa"/>
            <w:vAlign w:val="center"/>
            <w:textDirection w:val="lrTb"/>
            <w:noWrap w:val="false"/>
          </w:tcPr>
          <w:p>
            <w:pPr>
              <w:ind w:firstLine="240"/>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位</w:t>
            </w:r>
            <w:r/>
          </w:p>
        </w:tc>
        <w:tc>
          <w:tcPr>
            <w:tcBorders>
              <w:top w:val="single" w:color="000000"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lang w:bidi="ar"/>
              </w:rPr>
              <w:t xml:space="preserve">126</w:t>
            </w:r>
            <w:r/>
          </w:p>
        </w:tc>
      </w:tr>
      <w:tr>
        <w:trPr>
          <w:trHeight w:val="412"/>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可升降活动椅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pStyle w:val="877"/>
              <w:jc w:val="center"/>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rPr>
              <w:t xml:space="preserve">参考尺寸：</w:t>
            </w:r>
            <w:r>
              <w:rPr>
                <w:rFonts w:hint="eastAsia" w:ascii="宋体" w:hAnsi="宋体" w:eastAsia="宋体" w:cs="宋体"/>
                <w:color w:val="auto"/>
                <w:sz w:val="24"/>
                <w:szCs w:val="24"/>
                <w:highlight w:val="none"/>
                <w:lang w:eastAsia="zh-CN" w:bidi="ar"/>
              </w:rPr>
              <w:t xml:space="preserve">520mm*520mm*780/930mm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126</w:t>
            </w:r>
            <w:r/>
          </w:p>
        </w:tc>
      </w:tr>
      <w:tr>
        <w:trPr>
          <w:trHeight w:val="307"/>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条形课桌（双人桌）</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参考尺寸：1400mm*600mm*750mm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27*2</w:t>
            </w:r>
            <w:r/>
          </w:p>
        </w:tc>
      </w:tr>
      <w:tr>
        <w:trPr>
          <w:trHeight w:val="210"/>
        </w:trPr>
        <w:tc>
          <w:tcPr>
            <w:tcBorders>
              <w:left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auto"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tc>
        <w:tc>
          <w:tcPr>
            <w:tcBorders>
              <w:top w:val="single" w:color="auto" w:sz="4" w:space="0"/>
              <w:left w:val="single" w:color="000000" w:sz="4" w:space="0"/>
              <w:bottom w:val="single" w:color="auto" w:sz="4" w:space="0"/>
              <w:right w:val="single" w:color="auto" w:sz="4" w:space="0"/>
            </w:tcBorders>
            <w:tcW w:w="3404"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参考尺寸：460mm*530mm*855mm</w:t>
            </w:r>
            <w:r/>
          </w:p>
        </w:tc>
        <w:tc>
          <w:tcPr>
            <w:tcBorders>
              <w:top w:val="single" w:color="auto" w:sz="4" w:space="0"/>
              <w:left w:val="single" w:color="auto" w:sz="4" w:space="0"/>
              <w:bottom w:val="single" w:color="auto" w:sz="4" w:space="0"/>
              <w:right w:val="single" w:color="000000" w:sz="4" w:space="0"/>
            </w:tcBorders>
            <w:tcW w:w="91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位</w:t>
            </w:r>
            <w:r/>
          </w:p>
        </w:tc>
        <w:tc>
          <w:tcPr>
            <w:tcBorders>
              <w:top w:val="single" w:color="auto" w:sz="4" w:space="0"/>
              <w:left w:val="single" w:color="000000" w:sz="4" w:space="0"/>
              <w:bottom w:val="single" w:color="auto"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54</w:t>
            </w:r>
            <w:r/>
          </w:p>
        </w:tc>
      </w:tr>
      <w:tr>
        <w:trPr>
          <w:trHeight w:val="210"/>
        </w:trPr>
        <w:tc>
          <w:tcPr>
            <w:tcBorders>
              <w:left w:val="single" w:color="000000" w:sz="4" w:space="0"/>
              <w:bottom w:val="single" w:color="000000" w:sz="4" w:space="0"/>
              <w:right w:val="single" w:color="000000" w:sz="4" w:space="0"/>
            </w:tcBorders>
            <w:tcW w:w="723" w:type="dxa"/>
            <w:vAlign w:val="center"/>
            <w:vMerge w:val="continue"/>
            <w:textDirection w:val="lrTb"/>
            <w:noWrap w:val="false"/>
          </w:tcPr>
          <w:p>
            <w:pPr>
              <w:jc w:val="center"/>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tc>
        <w:tc>
          <w:tcPr>
            <w:tcBorders>
              <w:left w:val="single" w:color="000000" w:sz="4" w:space="0"/>
              <w:bottom w:val="single" w:color="000000" w:sz="4" w:space="0"/>
              <w:right w:val="single" w:color="auto" w:sz="4" w:space="0"/>
            </w:tcBorders>
            <w:tcW w:w="725" w:type="dxa"/>
            <w:vAlign w:val="center"/>
            <w:vMerge w:val="continue"/>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tc>
        <w:tc>
          <w:tcPr>
            <w:tcBorders>
              <w:top w:val="single" w:color="auto" w:sz="4" w:space="0"/>
              <w:left w:val="single" w:color="auto" w:sz="4" w:space="0"/>
              <w:bottom w:val="single" w:color="000000" w:sz="4" w:space="0"/>
              <w:right w:val="single" w:color="000000" w:sz="4" w:space="0"/>
            </w:tcBorders>
            <w:tcW w:w="2538"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p>
        </w:tc>
        <w:tc>
          <w:tcPr>
            <w:tcBorders>
              <w:top w:val="single" w:color="auto" w:sz="4" w:space="0"/>
              <w:left w:val="single" w:color="000000" w:sz="4" w:space="0"/>
              <w:bottom w:val="single" w:color="000000" w:sz="4" w:space="0"/>
              <w:right w:val="single" w:color="auto" w:sz="4" w:space="0"/>
            </w:tcBorders>
            <w:tcW w:w="340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参考尺寸：670mm*800mm*850mm</w:t>
            </w:r>
            <w:r/>
          </w:p>
        </w:tc>
        <w:tc>
          <w:tcPr>
            <w:tcBorders>
              <w:top w:val="single" w:color="auto" w:sz="4" w:space="0"/>
              <w:left w:val="single" w:color="auto" w:sz="4" w:space="0"/>
              <w:bottom w:val="single" w:color="000000" w:sz="4" w:space="0"/>
              <w:right w:val="single" w:color="000000" w:sz="4" w:space="0"/>
            </w:tcBorders>
            <w:tcW w:w="918" w:type="dxa"/>
            <w:vAlign w:val="center"/>
            <w:textDirection w:val="lrTb"/>
            <w:noWrap w:val="false"/>
          </w:tcPr>
          <w:p>
            <w:pPr>
              <w:jc w:val="center"/>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位</w:t>
            </w:r>
            <w:r/>
          </w:p>
        </w:tc>
        <w:tc>
          <w:tcPr>
            <w:tcBorders>
              <w:top w:val="single" w:color="auto" w:sz="4" w:space="0"/>
              <w:left w:val="single" w:color="000000" w:sz="4" w:space="0"/>
              <w:bottom w:val="single" w:color="000000" w:sz="4" w:space="0"/>
              <w:right w:val="single" w:color="000000" w:sz="4" w:space="0"/>
            </w:tcBorders>
            <w:tcW w:w="823"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120</w:t>
            </w:r>
            <w:r/>
          </w:p>
        </w:tc>
      </w:tr>
    </w:tbl>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4</w:t>
      </w:r>
      <w:r>
        <w:rPr>
          <w:rFonts w:eastAsia="方正仿宋_GBK"/>
          <w:color w:val="auto"/>
          <w:sz w:val="28"/>
          <w:szCs w:val="28"/>
          <w:highlight w:val="none"/>
        </w:rPr>
        <w:t xml:space="preserve">）政府采购组织形式：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政府集中采购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部门集中采购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分散采购</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5</w:t>
      </w:r>
      <w:r>
        <w:rPr>
          <w:rFonts w:eastAsia="方正仿宋_GBK"/>
          <w:color w:val="auto"/>
          <w:sz w:val="28"/>
          <w:szCs w:val="28"/>
          <w:highlight w:val="none"/>
        </w:rPr>
        <w:t xml:space="preserve">）政府采购方式：</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公开招标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邀请招标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竞争性谈判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竞争性磋商</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询价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单一来源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框架协议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其他：</w:t>
      </w:r>
      <w:r>
        <w:rPr>
          <w:rFonts w:eastAsia="方正仿宋_GBK"/>
          <w:color w:val="auto"/>
          <w:sz w:val="28"/>
          <w:szCs w:val="28"/>
          <w:highlight w:val="none"/>
          <w:u w:val="single"/>
        </w:rPr>
        <w:t xml:space="preserve">          </w:t>
      </w:r>
      <w:r/>
    </w:p>
    <w:p>
      <w:pPr>
        <w:pStyle w:val="1156"/>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（注：在框架协议采购的第二阶段，可选择使用该合同文本）</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6</w:t>
      </w:r>
      <w:r>
        <w:rPr>
          <w:rFonts w:eastAsia="方正仿宋_GBK"/>
          <w:color w:val="auto"/>
          <w:sz w:val="28"/>
          <w:szCs w:val="28"/>
          <w:highlight w:val="none"/>
        </w:rPr>
        <w:t xml:space="preserve">）中标（成交）采购标的制造商是否为中小企业：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本合同是否为专门面向中小企业的采购合同（中小企业预留合同）：</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中标（成交）采购标的制造商是否为残疾人福利性单位：</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spacing w:line="480" w:lineRule="exact"/>
        <w:rPr>
          <w:rFonts w:eastAsia="方正仿宋_GBK"/>
          <w:color w:val="auto"/>
          <w:sz w:val="28"/>
          <w:szCs w:val="28"/>
          <w:highlight w:val="none"/>
        </w:rPr>
      </w:pPr>
      <w:r>
        <w:rPr>
          <w:rFonts w:eastAsia="方正仿宋_GBK"/>
          <w:color w:val="auto"/>
          <w:sz w:val="28"/>
          <w:szCs w:val="28"/>
          <w:highlight w:val="none"/>
        </w:rPr>
        <w:t xml:space="preserve">         中标（成交）采购标的制造商是否为监狱企业：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7</w:t>
      </w:r>
      <w:r>
        <w:rPr>
          <w:rFonts w:eastAsia="方正仿宋_GBK"/>
          <w:color w:val="auto"/>
          <w:sz w:val="28"/>
          <w:szCs w:val="28"/>
          <w:highlight w:val="none"/>
        </w:rPr>
        <w:t xml:space="preserve">）合同是否分包：</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þ</w:t>
      </w:r>
      <w:r>
        <w:rPr>
          <w:rFonts w:eastAsia="方正仿宋_GBK"/>
          <w:iCs/>
          <w:color w:val="auto"/>
          <w:sz w:val="28"/>
          <w:szCs w:val="28"/>
          <w:highlight w:val="none"/>
        </w:rPr>
        <w:t xml:space="preserve">否</w:t>
      </w:r>
      <w:r/>
    </w:p>
    <w:p>
      <w:pPr>
        <w:spacing w:line="480" w:lineRule="exact"/>
        <w:rPr>
          <w:rFonts w:eastAsia="方正仿宋_GBK"/>
          <w:iCs/>
          <w:color w:val="auto"/>
          <w:sz w:val="28"/>
          <w:szCs w:val="28"/>
          <w:highlight w:val="none"/>
        </w:rPr>
      </w:pPr>
      <w:r>
        <w:rPr>
          <w:rFonts w:eastAsia="方正仿宋_GBK"/>
          <w:color w:val="auto"/>
          <w:sz w:val="28"/>
          <w:szCs w:val="28"/>
          <w:highlight w:val="none"/>
        </w:rPr>
        <w:t xml:space="preserve">    （</w:t>
      </w:r>
      <w:r>
        <w:rPr>
          <w:rFonts w:eastAsia="方正仿宋_GBK"/>
          <w:color w:val="auto"/>
          <w:sz w:val="28"/>
          <w:szCs w:val="28"/>
          <w:highlight w:val="none"/>
          <w:lang w:val="en"/>
        </w:rPr>
        <w:t xml:space="preserve">8</w:t>
      </w:r>
      <w:r>
        <w:rPr>
          <w:rFonts w:eastAsia="方正仿宋_GBK"/>
          <w:color w:val="auto"/>
          <w:sz w:val="28"/>
          <w:szCs w:val="28"/>
          <w:highlight w:val="none"/>
        </w:rPr>
        <w:t xml:space="preserve">）中标（成交）供应商是否为外商投资企业：</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w:t>
      </w:r>
      <w:r>
        <w:rPr>
          <w:rFonts w:eastAsia="方正仿宋_GBK"/>
          <w:color w:val="auto"/>
          <w:sz w:val="28"/>
          <w:szCs w:val="28"/>
          <w:highlight w:val="none"/>
          <w:lang w:val="en"/>
        </w:rPr>
        <w:t xml:space="preserve">9</w:t>
      </w:r>
      <w:r>
        <w:rPr>
          <w:rFonts w:eastAsia="方正仿宋_GBK"/>
          <w:color w:val="auto"/>
          <w:sz w:val="28"/>
          <w:szCs w:val="28"/>
          <w:highlight w:val="none"/>
        </w:rPr>
        <w:t xml:space="preserve">）是否涉及进口产品：</w:t>
      </w:r>
      <w:r/>
    </w:p>
    <w:p>
      <w:pPr>
        <w:ind w:firstLine="84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是，《政府采购品目分类目录》底级品目名称：</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金额：</w:t>
      </w:r>
      <w:r>
        <w:rPr>
          <w:rFonts w:eastAsia="方正仿宋_GBK"/>
          <w:color w:val="auto"/>
          <w:sz w:val="28"/>
          <w:szCs w:val="28"/>
          <w:highlight w:val="none"/>
          <w:u w:val="singl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国别：</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品牌：</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规格型号：</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w:t>
      </w:r>
      <w:r/>
    </w:p>
    <w:p>
      <w:pPr>
        <w:ind w:firstLine="840"/>
        <w:spacing w:line="480" w:lineRule="exact"/>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（1</w:t>
      </w:r>
      <w:r>
        <w:rPr>
          <w:rFonts w:eastAsia="方正仿宋_GBK"/>
          <w:color w:val="auto"/>
          <w:sz w:val="28"/>
          <w:szCs w:val="28"/>
          <w:highlight w:val="none"/>
          <w:lang w:val="en"/>
        </w:rPr>
        <w:t xml:space="preserve">0</w:t>
      </w:r>
      <w:r>
        <w:rPr>
          <w:rFonts w:eastAsia="方正仿宋_GBK"/>
          <w:color w:val="auto"/>
          <w:sz w:val="28"/>
          <w:szCs w:val="28"/>
          <w:highlight w:val="none"/>
        </w:rPr>
        <w:t xml:space="preserve">）是否涉及节能产品：</w:t>
      </w:r>
      <w:r/>
    </w:p>
    <w:p>
      <w:pPr>
        <w:spacing w:line="480" w:lineRule="exact"/>
        <w:tabs>
          <w:tab w:val="left" w:pos="740" w:leader="none"/>
        </w:tabs>
        <w:rPr>
          <w:rFonts w:eastAsia="方正仿宋_GBK"/>
          <w:iCs/>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是，《节能产品政府采购品目清单》的底级品目名称：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是否涉及环境标志产品：</w:t>
      </w:r>
      <w:r/>
    </w:p>
    <w:p>
      <w:pPr>
        <w:spacing w:line="480" w:lineRule="exact"/>
        <w:tabs>
          <w:tab w:val="left" w:pos="740" w:leader="none"/>
        </w:tabs>
        <w:rPr>
          <w:rFonts w:eastAsia="方正仿宋_GBK"/>
          <w:color w:val="auto"/>
          <w:sz w:val="28"/>
          <w:szCs w:val="28"/>
          <w:highlight w:val="none"/>
        </w:rPr>
      </w:pP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是，《环境标志产品政府采购品目清单》的底级品目名称：</w:t>
      </w:r>
      <w:r>
        <w:rPr>
          <w:rFonts w:eastAsia="方正仿宋_GBK"/>
          <w:color w:val="auto"/>
          <w:sz w:val="28"/>
          <w:szCs w:val="28"/>
          <w:highlight w:val="none"/>
          <w:u w:val="single"/>
        </w:rPr>
        <w:t xml:space="preserve">         </w:t>
      </w:r>
      <w:r>
        <w:rPr>
          <w:rFonts w:eastAsia="方正仿宋_GBK"/>
          <w:iCs/>
          <w:color w:val="auto"/>
          <w:sz w:val="28"/>
          <w:szCs w:val="28"/>
          <w:highlight w:val="non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spacing w:line="480" w:lineRule="exact"/>
        <w:tabs>
          <w:tab w:val="left" w:pos="740" w:leader="none"/>
        </w:tabs>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否</w:t>
      </w:r>
      <w:r/>
    </w:p>
    <w:p>
      <w:pPr>
        <w:pStyle w:val="1156"/>
        <w:ind w:firstLine="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是否涉及绿色产品： </w:t>
      </w:r>
      <w:r/>
    </w:p>
    <w:p>
      <w:pPr>
        <w:pStyle w:val="1156"/>
        <w:ind w:firstLine="420"/>
        <w:spacing w:line="480" w:lineRule="exact"/>
        <w:rPr>
          <w:rFonts w:ascii="Times New Roman" w:hAnsi="Times New Roman" w:eastAsia="方正仿宋_GBK" w:cs="Times New Roman"/>
          <w:color w:val="auto"/>
          <w:sz w:val="28"/>
          <w:szCs w:val="28"/>
          <w:highlight w:val="none"/>
          <w:u w:val="singl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是，绿色产品政府采购相关政策确定的底级品目名称：</w:t>
      </w:r>
      <w:r>
        <w:rPr>
          <w:rFonts w:ascii="Times New Roman" w:hAnsi="Times New Roman" w:eastAsia="方正仿宋_GBK" w:cs="Times New Roman"/>
          <w:color w:val="auto"/>
          <w:sz w:val="28"/>
          <w:szCs w:val="28"/>
          <w:highlight w:val="none"/>
          <w:u w:val="single"/>
        </w:rPr>
        <w:t xml:space="preserve">         </w:t>
      </w:r>
      <w:r/>
    </w:p>
    <w:p>
      <w:pPr>
        <w:spacing w:line="480" w:lineRule="exact"/>
        <w:tabs>
          <w:tab w:val="left" w:pos="740" w:leader="none"/>
        </w:tabs>
        <w:rPr>
          <w:rFonts w:eastAsia="方正仿宋_GBK"/>
          <w:iCs/>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强制采购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优先采购    </w:t>
      </w:r>
      <w:r/>
    </w:p>
    <w:p>
      <w:pPr>
        <w:pStyle w:val="1156"/>
        <w:ind w:firstLine="420"/>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w:t>
      </w:r>
      <w:r>
        <w:rPr>
          <w:rFonts w:ascii="Wingdings" w:hAnsi="Wingdings" w:eastAsia="Wingdings" w:cs="Wingdings"/>
          <w:color w:val="auto"/>
          <w:sz w:val="28"/>
          <w:szCs w:val="28"/>
          <w:highlight w:val="none"/>
        </w:rPr>
        <w:t xml:space="preserve">¨</w:t>
      </w:r>
      <w:r>
        <w:rPr>
          <w:rFonts w:ascii="Times New Roman" w:hAnsi="Times New Roman" w:eastAsia="方正仿宋_GBK" w:cs="Times New Roman"/>
          <w:color w:val="auto"/>
          <w:sz w:val="28"/>
          <w:szCs w:val="28"/>
          <w:highlight w:val="none"/>
        </w:rPr>
        <w:t xml:space="preserve">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   （1</w:t>
      </w:r>
      <w:r>
        <w:rPr>
          <w:rFonts w:eastAsia="方正仿宋_GBK"/>
          <w:color w:val="auto"/>
          <w:sz w:val="28"/>
          <w:szCs w:val="28"/>
          <w:highlight w:val="none"/>
          <w:lang w:val="en"/>
        </w:rPr>
        <w:t xml:space="preserve">1</w:t>
      </w:r>
      <w:r>
        <w:rPr>
          <w:rFonts w:eastAsia="方正仿宋_GBK"/>
          <w:color w:val="auto"/>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rPr>
          <w:rFonts w:eastAsia="方正仿宋_GBK"/>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不涉及</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2.</w:t>
      </w:r>
      <w:r>
        <w:rPr>
          <w:rFonts w:eastAsia="方正仿宋_GBK"/>
          <w:b/>
          <w:color w:val="auto"/>
          <w:sz w:val="28"/>
          <w:szCs w:val="28"/>
          <w:highlight w:val="none"/>
        </w:rPr>
        <w:t xml:space="preserve">合同金额</w:t>
      </w:r>
      <w:r/>
    </w:p>
    <w:p>
      <w:pPr>
        <w:ind w:firstLine="56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（1）合同金额小写：</w:t>
      </w:r>
      <w:r>
        <w:rPr>
          <w:rFonts w:eastAsia="方正仿宋_GBK"/>
          <w:color w:val="auto"/>
          <w:sz w:val="28"/>
          <w:szCs w:val="28"/>
          <w:highlight w:val="none"/>
          <w:u w:val="single"/>
        </w:rPr>
        <w:t xml:space="preserve">                  </w:t>
      </w:r>
      <w:r>
        <w:rPr>
          <w:rFonts w:eastAsia="方正仿宋_GBK"/>
          <w:color w:val="auto"/>
          <w:sz w:val="28"/>
          <w:szCs w:val="28"/>
          <w:highlight w:val="none"/>
        </w:rPr>
        <w:t xml:space="preserve">  大写：</w:t>
      </w:r>
      <w:r>
        <w:rPr>
          <w:rFonts w:eastAsia="方正仿宋_GBK"/>
          <w:color w:val="auto"/>
          <w:sz w:val="28"/>
          <w:szCs w:val="28"/>
          <w:highlight w:val="none"/>
          <w:u w:val="single"/>
        </w:rPr>
        <w:t xml:space="preserve">                           </w:t>
      </w:r>
      <w:r/>
    </w:p>
    <w:p>
      <w:pPr>
        <w:ind w:firstLine="1120"/>
        <w:spacing w:line="480" w:lineRule="exact"/>
        <w:rPr>
          <w:rFonts w:eastAsia="方正仿宋_GBK"/>
          <w:color w:val="auto"/>
          <w:sz w:val="28"/>
          <w:szCs w:val="28"/>
          <w:highlight w:val="none"/>
        </w:rPr>
      </w:pPr>
      <w:r>
        <w:rPr>
          <w:rFonts w:eastAsia="方正仿宋_GBK"/>
          <w:color w:val="auto"/>
          <w:sz w:val="28"/>
          <w:szCs w:val="28"/>
          <w:highlight w:val="none"/>
        </w:rPr>
        <w:t xml:space="preserve">各类产品单价详见本合同附件。</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（2）合同定价方式（采用组合定价方式的，可以勾选多项）：</w:t>
      </w:r>
      <w:r/>
    </w:p>
    <w:p>
      <w:pPr>
        <w:ind w:firstLine="420"/>
        <w:spacing w:line="480" w:lineRule="exact"/>
        <w:rPr>
          <w:rFonts w:eastAsia="方正仿宋_GBK"/>
          <w:color w:val="auto"/>
          <w:sz w:val="28"/>
          <w:szCs w:val="28"/>
          <w:highlight w:val="none"/>
        </w:rPr>
      </w:pPr>
      <w:r>
        <w:rPr>
          <w:rFonts w:eastAsia="方正仿宋_GBK"/>
          <w:i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固定总价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固定单价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固定费率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成本补偿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绩效激励 </w:t>
      </w:r>
      <w:r>
        <w:rPr>
          <w:rFonts w:ascii="Wingdings" w:hAnsi="Wingdings" w:eastAsia="Wingdings" w:cs="Wingdings"/>
          <w:color w:val="auto"/>
          <w:sz w:val="28"/>
          <w:szCs w:val="28"/>
          <w:highlight w:val="none"/>
        </w:rPr>
        <w:t xml:space="preserve">¨</w:t>
      </w:r>
      <w:r>
        <w:rPr>
          <w:rFonts w:eastAsia="方正仿宋_GBK"/>
          <w:iCs/>
          <w:color w:val="auto"/>
          <w:sz w:val="28"/>
          <w:szCs w:val="28"/>
          <w:highlight w:val="none"/>
        </w:rPr>
        <w:t xml:space="preserve">其他</w:t>
      </w:r>
      <w:r>
        <w:rPr>
          <w:rFonts w:eastAsia="方正仿宋_GBK"/>
          <w:color w:val="auto"/>
          <w:sz w:val="28"/>
          <w:szCs w:val="28"/>
          <w:highlight w:val="none"/>
          <w:u w:val="singl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（3）付款方式（按项目实际勾选填写）：</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全额付款：</w:t>
      </w:r>
      <w:r>
        <w:rPr>
          <w:rFonts w:eastAsia="方正仿宋_GBK"/>
          <w:color w:val="auto"/>
          <w:sz w:val="28"/>
          <w:szCs w:val="28"/>
          <w:highlight w:val="none"/>
          <w:u w:val="single"/>
        </w:rPr>
        <w:t xml:space="preserve">     （应明确一次性支付合同款项的条件）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þ</w:t>
      </w:r>
      <w:r>
        <w:rPr>
          <w:rFonts w:eastAsia="方正仿宋_GBK"/>
          <w:color w:val="auto"/>
          <w:sz w:val="28"/>
          <w:szCs w:val="28"/>
          <w:highlight w:val="none"/>
        </w:rPr>
        <w:t xml:space="preserve">分期付款：</w:t>
      </w:r>
      <w:r>
        <w:rPr>
          <w:rFonts w:eastAsia="方正仿宋_GBK"/>
          <w:color w:val="auto"/>
          <w:sz w:val="28"/>
          <w:szCs w:val="28"/>
          <w:highlight w:val="none"/>
          <w:u w:val="single"/>
        </w:rPr>
        <w:t xml:space="preserve">  </w:t>
      </w:r>
      <w:r>
        <w:rPr>
          <w:rFonts w:eastAsia="方正仿宋_GBK"/>
          <w:color w:val="auto"/>
          <w:sz w:val="24"/>
          <w:szCs w:val="24"/>
          <w:highlight w:val="none"/>
          <w:u w:val="single"/>
        </w:rPr>
        <w:t xml:space="preserve">本项目采用分批供货</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安装</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验收的方式</w:t>
      </w:r>
      <w:r>
        <w:rPr>
          <w:rFonts w:hint="eastAsia" w:eastAsia="方正仿宋_GBK"/>
          <w:color w:val="auto"/>
          <w:sz w:val="24"/>
          <w:szCs w:val="24"/>
          <w:highlight w:val="none"/>
          <w:u w:val="single"/>
        </w:rPr>
        <w:t xml:space="preserve">，终期验收</w:t>
      </w:r>
      <w:r>
        <w:rPr>
          <w:rFonts w:eastAsia="方正仿宋_GBK"/>
          <w:color w:val="auto"/>
          <w:sz w:val="24"/>
          <w:szCs w:val="24"/>
          <w:highlight w:val="none"/>
          <w:u w:val="single"/>
        </w:rPr>
        <w:t xml:space="preserve">后即支付合同总价货款的70%。采购人</w:t>
      </w:r>
      <w:r>
        <w:rPr>
          <w:rFonts w:hint="eastAsia" w:eastAsia="方正仿宋_GBK"/>
          <w:color w:val="auto"/>
          <w:sz w:val="24"/>
          <w:szCs w:val="24"/>
          <w:highlight w:val="none"/>
          <w:u w:val="single"/>
        </w:rPr>
        <w:t xml:space="preserve">组织</w:t>
      </w:r>
      <w:r>
        <w:rPr>
          <w:rFonts w:eastAsia="方正仿宋_GBK"/>
          <w:color w:val="auto"/>
          <w:sz w:val="24"/>
          <w:szCs w:val="24"/>
          <w:highlight w:val="none"/>
          <w:u w:val="single"/>
        </w:rPr>
        <w:t xml:space="preserve">验收（验收方式详见招标文件），凭验收报告和中标供应商开具</w:t>
      </w:r>
      <w:r>
        <w:rPr>
          <w:rFonts w:hint="eastAsia" w:eastAsia="方正仿宋_GBK"/>
          <w:color w:val="auto"/>
          <w:sz w:val="24"/>
          <w:szCs w:val="24"/>
          <w:highlight w:val="none"/>
          <w:u w:val="single"/>
        </w:rPr>
        <w:t xml:space="preserve">的增值税专用</w:t>
      </w:r>
      <w:r>
        <w:rPr>
          <w:rFonts w:eastAsia="方正仿宋_GBK"/>
          <w:color w:val="auto"/>
          <w:sz w:val="24"/>
          <w:szCs w:val="24"/>
          <w:highlight w:val="none"/>
          <w:u w:val="single"/>
        </w:rPr>
        <w:t xml:space="preserve">发票，在30个工作日内付清货款</w:t>
      </w:r>
      <w:r>
        <w:rPr>
          <w:rFonts w:hint="eastAsia" w:eastAsia="方正仿宋_GBK"/>
          <w:color w:val="auto"/>
          <w:sz w:val="24"/>
          <w:szCs w:val="24"/>
          <w:highlight w:val="none"/>
          <w:u w:val="single"/>
        </w:rPr>
        <w:t xml:space="preserve">，并</w:t>
      </w:r>
      <w:r>
        <w:rPr>
          <w:rFonts w:eastAsia="方正仿宋_GBK"/>
          <w:color w:val="auto"/>
          <w:sz w:val="24"/>
          <w:szCs w:val="24"/>
          <w:highlight w:val="none"/>
          <w:u w:val="single"/>
        </w:rPr>
        <w:t xml:space="preserve">退还中标供应商</w:t>
      </w:r>
      <w:r>
        <w:rPr>
          <w:rFonts w:hint="eastAsia" w:eastAsia="方正仿宋_GBK"/>
          <w:color w:val="auto"/>
          <w:sz w:val="24"/>
          <w:szCs w:val="24"/>
          <w:highlight w:val="none"/>
          <w:u w:val="single"/>
        </w:rPr>
        <w:t xml:space="preserve">的</w:t>
      </w:r>
      <w:r>
        <w:rPr>
          <w:rFonts w:eastAsia="方正仿宋_GBK"/>
          <w:color w:val="auto"/>
          <w:sz w:val="24"/>
          <w:szCs w:val="24"/>
          <w:highlight w:val="none"/>
          <w:u w:val="single"/>
        </w:rPr>
        <w:t xml:space="preserve">预付货款保函。</w:t>
      </w:r>
      <w:r/>
    </w:p>
    <w:p>
      <w:pPr>
        <w:ind w:firstLine="630"/>
        <w:spacing w:line="480" w:lineRule="exact"/>
        <w:rPr>
          <w:rFonts w:eastAsia="方正仿宋_GBK"/>
          <w:color w:val="auto"/>
          <w:sz w:val="28"/>
          <w:szCs w:val="28"/>
          <w:highlight w:val="none"/>
        </w:rPr>
      </w:pPr>
      <w:r>
        <w:rPr>
          <w:rFonts w:eastAsia="方正仿宋_GBK"/>
          <w:color w:val="auto"/>
          <w:sz w:val="28"/>
          <w:szCs w:val="28"/>
          <w:highlight w:val="none"/>
        </w:rPr>
        <w:t xml:space="preserve">其中涉及预付款的：</w:t>
      </w:r>
      <w:r>
        <w:rPr>
          <w:rFonts w:eastAsia="方正仿宋_GBK"/>
          <w:color w:val="auto"/>
          <w:sz w:val="28"/>
          <w:szCs w:val="28"/>
          <w:highlight w:val="none"/>
          <w:u w:val="single"/>
        </w:rPr>
        <w:t xml:space="preserve"> 合同签订生效后10个工作日内，甲方支付乙方合同总价款30%的预付货款（乙方需先行提供同等金额的预付款保函，预付款保函</w:t>
      </w:r>
      <w:r>
        <w:rPr>
          <w:rFonts w:hint="eastAsia" w:ascii="宋体" w:hAnsi="宋体" w:cs="宋体"/>
          <w:color w:val="auto"/>
          <w:sz w:val="28"/>
          <w:szCs w:val="28"/>
          <w:highlight w:val="none"/>
          <w:u w:val="single"/>
        </w:rPr>
        <w:t xml:space="preserve">须由乙方基本账户开户银行或非银行金融机构出具</w:t>
      </w:r>
      <w:r>
        <w:rPr>
          <w:rFonts w:eastAsia="方正仿宋_GBK"/>
          <w:color w:val="auto"/>
          <w:sz w:val="28"/>
          <w:szCs w:val="28"/>
          <w:highlight w:val="none"/>
          <w:u w:val="single"/>
        </w:rPr>
        <w:t xml:space="preserve">）</w:t>
      </w:r>
      <w:r>
        <w:rPr>
          <w:rFonts w:hint="eastAsia" w:eastAsia="方正仿宋_GBK"/>
          <w:color w:val="auto"/>
          <w:sz w:val="28"/>
          <w:szCs w:val="28"/>
          <w:highlight w:val="none"/>
          <w:u w:val="single"/>
        </w:rPr>
        <w:t xml:space="preserve">。</w:t>
      </w:r>
      <w:r>
        <w:rPr>
          <w:rFonts w:eastAsia="方正仿宋_GBK"/>
          <w:color w:val="auto"/>
          <w:sz w:val="28"/>
          <w:szCs w:val="28"/>
          <w:highlight w:val="none"/>
          <w:u w:val="single"/>
        </w:rPr>
        <w:t xml:space="preserve"> </w:t>
      </w:r>
      <w:r/>
    </w:p>
    <w:p>
      <w:pPr>
        <w:ind w:firstLine="630"/>
        <w:spacing w:line="480" w:lineRule="exact"/>
        <w:rPr>
          <w:rFonts w:eastAsia="方正仿宋_GBK"/>
          <w:color w:val="auto"/>
          <w:sz w:val="28"/>
          <w:szCs w:val="28"/>
          <w:highlight w:val="none"/>
          <w:u w:val="singl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成本补偿：</w:t>
      </w:r>
      <w:r>
        <w:rPr>
          <w:rFonts w:eastAsia="方正仿宋_GBK"/>
          <w:color w:val="auto"/>
          <w:sz w:val="28"/>
          <w:szCs w:val="28"/>
          <w:highlight w:val="none"/>
          <w:u w:val="single"/>
        </w:rPr>
        <w:t xml:space="preserve">      （应明确按照成本补偿方式的支付方式和支付条件）   </w:t>
      </w:r>
      <w:r/>
    </w:p>
    <w:p>
      <w:pPr>
        <w:ind w:firstLine="630"/>
        <w:spacing w:line="480" w:lineRule="exact"/>
        <w:rPr>
          <w:rFonts w:eastAsia="方正仿宋_GBK"/>
          <w:color w:val="auto"/>
          <w:sz w:val="28"/>
          <w:szCs w:val="28"/>
          <w:highlight w:val="none"/>
        </w:rPr>
      </w:pP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绩效激励：</w:t>
      </w:r>
      <w:r>
        <w:rPr>
          <w:rFonts w:eastAsia="方正仿宋_GBK"/>
          <w:color w:val="auto"/>
          <w:sz w:val="28"/>
          <w:szCs w:val="28"/>
          <w:highlight w:val="none"/>
          <w:u w:val="single"/>
        </w:rPr>
        <w:t xml:space="preserve">      （应明确按照绩效激励方式的支付方式和支付条件）   </w:t>
      </w:r>
      <w:r/>
    </w:p>
    <w:p>
      <w:pPr>
        <w:ind w:firstLine="562"/>
        <w:spacing w:line="480" w:lineRule="exact"/>
        <w:tabs>
          <w:tab w:val="left" w:pos="907" w:leader="none"/>
        </w:tabs>
        <w:rPr>
          <w:rFonts w:eastAsia="方正仿宋_GBK"/>
          <w:b/>
          <w:color w:val="auto"/>
          <w:sz w:val="28"/>
          <w:szCs w:val="28"/>
          <w:highlight w:val="none"/>
          <w:u w:val="single"/>
        </w:rPr>
      </w:pPr>
      <w:r>
        <w:rPr>
          <w:rFonts w:hint="eastAsia" w:eastAsia="方正仿宋_GBK"/>
          <w:b/>
          <w:color w:val="auto"/>
          <w:sz w:val="28"/>
          <w:szCs w:val="28"/>
          <w:highlight w:val="none"/>
        </w:rPr>
        <w:t xml:space="preserve">3.</w:t>
      </w:r>
      <w:r>
        <w:rPr>
          <w:rFonts w:eastAsia="方正仿宋_GBK"/>
          <w:b/>
          <w:color w:val="auto"/>
          <w:sz w:val="28"/>
          <w:szCs w:val="28"/>
          <w:highlight w:val="none"/>
        </w:rPr>
        <w:t xml:space="preserve">合同履行</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（1）起始日期：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日，完成日期：</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u w:val="single"/>
        </w:rPr>
      </w:pPr>
      <w:r>
        <w:rPr>
          <w:rFonts w:eastAsia="方正仿宋_GBK"/>
          <w:color w:val="auto"/>
          <w:sz w:val="28"/>
          <w:szCs w:val="28"/>
          <w:highlight w:val="none"/>
        </w:rPr>
        <w:t xml:space="preserve">（2）履约地点</w:t>
      </w:r>
      <w:r>
        <w:rPr>
          <w:rFonts w:eastAsia="方正仿宋_GBK"/>
          <w:bCs/>
          <w:color w:val="auto"/>
          <w:sz w:val="28"/>
          <w:szCs w:val="28"/>
          <w:highlight w:val="none"/>
        </w:rPr>
        <w:t xml:space="preserve">：</w:t>
      </w:r>
      <w:r>
        <w:rPr>
          <w:rFonts w:eastAsia="方正仿宋_GBK"/>
          <w:color w:val="auto"/>
          <w:sz w:val="28"/>
          <w:szCs w:val="28"/>
          <w:highlight w:val="none"/>
          <w:u w:val="single"/>
        </w:rPr>
        <w:t xml:space="preserve">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（3）履约担保：</w:t>
      </w:r>
      <w:r>
        <w:rPr>
          <w:rFonts w:eastAsia="方正仿宋_GBK"/>
          <w:color w:val="auto"/>
          <w:sz w:val="28"/>
          <w:szCs w:val="28"/>
          <w:highlight w:val="none"/>
        </w:rPr>
        <w:t xml:space="preserve">是否收取履约保证金：是</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bCs/>
          <w:color w:val="auto"/>
          <w:sz w:val="28"/>
          <w:szCs w:val="28"/>
          <w:highlight w:val="none"/>
        </w:rPr>
        <w:t xml:space="preserve">  </w:t>
      </w:r>
      <w:r>
        <w:rPr>
          <w:rFonts w:ascii="Times New Roman" w:hAnsi="Times New Roman" w:eastAsia="方正仿宋_GBK" w:cs="Times New Roman"/>
          <w:color w:val="auto"/>
          <w:sz w:val="28"/>
          <w:szCs w:val="28"/>
          <w:highlight w:val="none"/>
        </w:rPr>
        <w:t xml:space="preserve">  收取履约保证金形式：</w:t>
      </w:r>
      <w:r>
        <w:rPr>
          <w:rFonts w:ascii="Times New Roman" w:hAnsi="Times New Roman" w:eastAsia="方正仿宋_GBK" w:cs="Times New Roman"/>
          <w:bCs/>
          <w:color w:val="auto"/>
          <w:sz w:val="28"/>
          <w:szCs w:val="28"/>
          <w:highlight w:val="none"/>
          <w:u w:val="single"/>
        </w:rPr>
        <w:t xml:space="preserve"> 应当以数字人民币、支票、汇票或者金融机构、担保机构出具的保函等非现金形式提交至南通职业大学指定账户。户名：南通市财政局 账号：513902006610906开户行：招商银行南通分行，备注：南通职业大学钟秀校区</w:t>
      </w:r>
      <w:r>
        <w:rPr>
          <w:rFonts w:hint="eastAsia" w:ascii="Times New Roman" w:hAnsi="Times New Roman" w:eastAsia="方正仿宋_GBK" w:cs="Times New Roman"/>
          <w:bCs/>
          <w:color w:val="auto"/>
          <w:sz w:val="28"/>
          <w:szCs w:val="28"/>
          <w:highlight w:val="none"/>
          <w:u w:val="single"/>
        </w:rPr>
        <w:t xml:space="preserve">课桌椅</w:t>
      </w:r>
      <w:r>
        <w:rPr>
          <w:rFonts w:ascii="Times New Roman" w:hAnsi="Times New Roman" w:eastAsia="方正仿宋_GBK" w:cs="Times New Roman"/>
          <w:bCs/>
          <w:color w:val="auto"/>
          <w:sz w:val="28"/>
          <w:szCs w:val="28"/>
          <w:highlight w:val="none"/>
          <w:u w:val="single"/>
        </w:rPr>
        <w:t xml:space="preserve">采购项目履约保证金 </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收取履约保证金金额：</w:t>
      </w:r>
      <w:r>
        <w:rPr>
          <w:rFonts w:ascii="Times New Roman" w:hAnsi="Times New Roman" w:eastAsia="方正仿宋_GBK" w:cs="Times New Roman"/>
          <w:bCs/>
          <w:color w:val="auto"/>
          <w:sz w:val="28"/>
          <w:szCs w:val="28"/>
          <w:highlight w:val="none"/>
          <w:u w:val="single"/>
        </w:rPr>
        <w:t xml:space="preserve"> 项目成交价（合同总价款）的10%                           </w:t>
      </w:r>
      <w:r/>
    </w:p>
    <w:p>
      <w:pPr>
        <w:ind w:firstLine="420"/>
        <w:spacing w:line="480" w:lineRule="exact"/>
        <w:rPr>
          <w:rFonts w:eastAsia="方正仿宋_GBK"/>
          <w:color w:val="auto"/>
          <w:sz w:val="28"/>
          <w:szCs w:val="28"/>
          <w:highlight w:val="none"/>
        </w:rPr>
      </w:pPr>
      <w:r>
        <w:rPr>
          <w:rFonts w:eastAsia="方正仿宋_GBK"/>
          <w:bCs/>
          <w:color w:val="auto"/>
          <w:sz w:val="28"/>
          <w:szCs w:val="28"/>
          <w:highlight w:val="none"/>
        </w:rPr>
        <w:t xml:space="preserve">    履约担保期限：</w:t>
      </w:r>
      <w:r>
        <w:rPr>
          <w:rFonts w:eastAsia="方正仿宋_GBK"/>
          <w:bCs/>
          <w:color w:val="auto"/>
          <w:sz w:val="28"/>
          <w:szCs w:val="28"/>
          <w:highlight w:val="none"/>
          <w:u w:val="single"/>
        </w:rPr>
        <w:t xml:space="preserve"> 中标供应商无产品质量、安装进度等问题的，采购人在验收合格后30日内全额退还履约保证金（无息）。                  </w:t>
      </w:r>
      <w:r/>
    </w:p>
    <w:p>
      <w:pPr>
        <w:ind w:firstLine="42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（4）分期履行要求：</w:t>
      </w:r>
      <w:r>
        <w:rPr>
          <w:rFonts w:eastAsia="方正仿宋_GBK"/>
          <w:bCs/>
          <w:color w:val="auto"/>
          <w:sz w:val="28"/>
          <w:szCs w:val="28"/>
          <w:highlight w:val="none"/>
          <w:u w:val="single"/>
        </w:rPr>
        <w:t xml:space="preserve">                                                        </w:t>
      </w:r>
      <w:r/>
    </w:p>
    <w:p>
      <w:pPr>
        <w:ind w:firstLine="420"/>
        <w:spacing w:line="480" w:lineRule="exact"/>
        <w:rPr>
          <w:rFonts w:eastAsia="方正仿宋_GBK"/>
          <w:color w:val="auto"/>
          <w:sz w:val="28"/>
          <w:szCs w:val="28"/>
          <w:highlight w:val="none"/>
          <w:u w:val="single"/>
        </w:rPr>
      </w:pPr>
      <w:r>
        <w:rPr>
          <w:rFonts w:eastAsia="方正仿宋_GBK"/>
          <w:bCs/>
          <w:color w:val="auto"/>
          <w:sz w:val="28"/>
          <w:szCs w:val="28"/>
          <w:highlight w:val="none"/>
        </w:rPr>
        <w:t xml:space="preserve">（5）风险处置措施和替代方案：</w:t>
      </w:r>
      <w:r>
        <w:rPr>
          <w:rFonts w:eastAsia="方正仿宋_GBK"/>
          <w:color w:val="auto"/>
          <w:sz w:val="28"/>
          <w:szCs w:val="28"/>
          <w:highlight w:val="none"/>
          <w:u w:val="single"/>
        </w:rPr>
        <w:t xml:space="preserve">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4.</w:t>
      </w:r>
      <w:r>
        <w:rPr>
          <w:rFonts w:eastAsia="方正仿宋_GBK"/>
          <w:b/>
          <w:color w:val="auto"/>
          <w:sz w:val="28"/>
          <w:szCs w:val="28"/>
          <w:highlight w:val="none"/>
        </w:rPr>
        <w:t xml:space="preserve">合同验收</w:t>
      </w:r>
      <w:r/>
    </w:p>
    <w:p>
      <w:pPr>
        <w:ind w:firstLine="560"/>
        <w:spacing w:line="480" w:lineRule="exact"/>
        <w:tabs>
          <w:tab w:val="left" w:pos="1440" w:leader="none"/>
        </w:tabs>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验收组织方式：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自行组织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委托第三方组织</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验收主体：</w:t>
      </w:r>
      <w:r>
        <w:rPr>
          <w:rFonts w:eastAsia="方正仿宋_GBK"/>
          <w:bCs/>
          <w:color w:val="auto"/>
          <w:sz w:val="28"/>
          <w:szCs w:val="28"/>
          <w:highlight w:val="none"/>
          <w:u w:val="single"/>
        </w:rPr>
        <w:t xml:space="preserve">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是否邀请本项目的其他供应商参加验收：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是否邀请专家参加验收：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是否邀请服务对象参加验收：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是否邀请第三方检测机构参加验收：</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是否进行抽查检测：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，抽查比例：</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是否存在破坏性检测：</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w:t>
      </w:r>
      <w:r>
        <w:rPr>
          <w:rFonts w:eastAsia="方正仿宋_GBK"/>
          <w:bCs/>
          <w:color w:val="auto"/>
          <w:sz w:val="28"/>
          <w:szCs w:val="28"/>
          <w:highlight w:val="none"/>
        </w:rPr>
        <w:t xml:space="preserve">，</w:t>
      </w:r>
      <w:r>
        <w:rPr>
          <w:rFonts w:eastAsia="方正仿宋_GBK"/>
          <w:bCs/>
          <w:color w:val="auto"/>
          <w:sz w:val="28"/>
          <w:szCs w:val="28"/>
          <w:highlight w:val="none"/>
          <w:u w:val="single"/>
        </w:rPr>
        <w:t xml:space="preserve">（应明确对被破坏的检测产品的处理方式）</w:t>
      </w:r>
      <w:r/>
    </w:p>
    <w:p>
      <w:pPr>
        <w:ind w:firstLine="840"/>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eastAsia="方正仿宋_GBK"/>
          <w:color w:val="auto"/>
          <w:sz w:val="28"/>
          <w:szCs w:val="28"/>
          <w:highlight w:val="none"/>
        </w:rPr>
        <w:t xml:space="preserve">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840"/>
        <w:spacing w:line="480" w:lineRule="exact"/>
        <w:rPr>
          <w:rFonts w:eastAsia="方正仿宋_GBK"/>
          <w:bCs/>
          <w:color w:val="auto"/>
          <w:sz w:val="28"/>
          <w:szCs w:val="28"/>
          <w:highlight w:val="none"/>
          <w:u w:val="single"/>
        </w:rPr>
      </w:pPr>
      <w:r>
        <w:rPr>
          <w:rFonts w:eastAsia="方正仿宋_GBK"/>
          <w:bCs/>
          <w:color w:val="auto"/>
          <w:sz w:val="28"/>
          <w:szCs w:val="28"/>
          <w:highlight w:val="none"/>
        </w:rPr>
        <w:t xml:space="preserve">验收组织的其他事项：</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（2）履约验收时间：</w:t>
      </w:r>
      <w:r>
        <w:rPr>
          <w:rFonts w:eastAsia="方正仿宋_GBK"/>
          <w:bCs/>
          <w:color w:val="auto"/>
          <w:sz w:val="28"/>
          <w:szCs w:val="28"/>
          <w:highlight w:val="none"/>
          <w:u w:val="single"/>
        </w:rPr>
        <w:t xml:space="preserve">（计划于何时验收/供应商提出验收申请之日起   日内组织验收）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（3）履约验收方式：</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一次性验收         </w:t>
      </w:r>
      <w:r/>
    </w:p>
    <w:p>
      <w:pPr>
        <w:spacing w:line="480" w:lineRule="exact"/>
        <w:rPr>
          <w:rFonts w:eastAsia="方正仿宋_GBK"/>
          <w:bCs/>
          <w:color w:val="auto"/>
          <w:sz w:val="28"/>
          <w:szCs w:val="28"/>
          <w:highlight w:val="none"/>
        </w:rPr>
      </w:pPr>
      <w:r>
        <w:rPr>
          <w:rFonts w:eastAsia="方正仿宋_GBK"/>
          <w:bCs/>
          <w:color w:val="auto"/>
          <w:sz w:val="28"/>
          <w:szCs w:val="28"/>
          <w:highlight w:val="none"/>
        </w:rPr>
        <w:t xml:space="preserve">                       </w:t>
      </w:r>
      <w:r>
        <w:rPr>
          <w:rFonts w:ascii="Wingdings" w:hAnsi="Wingdings" w:eastAsia="Wingdings" w:cs="Wingdings"/>
          <w:color w:val="auto"/>
          <w:sz w:val="28"/>
          <w:szCs w:val="28"/>
          <w:highlight w:val="none"/>
        </w:rPr>
        <w:t xml:space="preserve">¨</w:t>
      </w:r>
      <w:r>
        <w:rPr>
          <w:rFonts w:eastAsia="方正仿宋_GBK"/>
          <w:bCs/>
          <w:color w:val="auto"/>
          <w:sz w:val="28"/>
          <w:szCs w:val="28"/>
          <w:highlight w:val="none"/>
        </w:rPr>
        <w:t xml:space="preserve">分期/分项验收：</w:t>
      </w:r>
      <w:r>
        <w:rPr>
          <w:rFonts w:eastAsia="方正仿宋_GBK"/>
          <w:bCs/>
          <w:color w:val="auto"/>
          <w:sz w:val="28"/>
          <w:szCs w:val="28"/>
          <w:highlight w:val="none"/>
          <w:u w:val="single"/>
        </w:rPr>
        <w:t xml:space="preserve"> （应明确分期</w:t>
      </w:r>
      <w:r>
        <w:rPr>
          <w:rFonts w:eastAsia="方正仿宋_GBK"/>
          <w:bCs/>
          <w:color w:val="auto"/>
          <w:sz w:val="28"/>
          <w:szCs w:val="28"/>
          <w:highlight w:val="none"/>
          <w:u w:val="single"/>
          <w:lang w:val="en"/>
        </w:rPr>
        <w:t xml:space="preserve">/分项验收的工作安排</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rPr>
      </w:pPr>
      <w:r>
        <w:rPr>
          <w:rFonts w:eastAsia="方正仿宋_GBK"/>
          <w:bCs/>
          <w:color w:val="auto"/>
          <w:sz w:val="28"/>
          <w:szCs w:val="28"/>
          <w:highlight w:val="none"/>
        </w:rPr>
        <w:t xml:space="preserve">（4）履约验收程序：</w:t>
      </w:r>
      <w:r>
        <w:rPr>
          <w:rFonts w:eastAsia="方正仿宋_GBK"/>
          <w:bCs/>
          <w:color w:val="auto"/>
          <w:sz w:val="28"/>
          <w:szCs w:val="28"/>
          <w:highlight w:val="none"/>
          <w:u w:val="single"/>
        </w:rPr>
        <w:t xml:space="preserve">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（5）履约验收的内容：</w:t>
      </w:r>
      <w:r>
        <w:rPr>
          <w:rFonts w:eastAsia="方正仿宋_GBK"/>
          <w:bCs/>
          <w:color w:val="auto"/>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（6）履约验收标准：</w:t>
      </w:r>
      <w:r>
        <w:rPr>
          <w:rFonts w:eastAsia="方正仿宋_GBK"/>
          <w:bCs/>
          <w:color w:val="auto"/>
          <w:sz w:val="28"/>
          <w:szCs w:val="28"/>
          <w:highlight w:val="none"/>
          <w:u w:val="single"/>
        </w:rPr>
        <w:t xml:space="preserve">  详见招标文件采购需求一章                     </w:t>
      </w:r>
      <w:r/>
    </w:p>
    <w:p>
      <w:pPr>
        <w:ind w:firstLine="560"/>
        <w:spacing w:line="480" w:lineRule="exact"/>
        <w:tabs>
          <w:tab w:val="left" w:pos="1440" w:leader="none"/>
        </w:tabs>
        <w:rPr>
          <w:rFonts w:eastAsia="方正仿宋_GBK"/>
          <w:color w:val="auto"/>
          <w:sz w:val="28"/>
          <w:szCs w:val="28"/>
          <w:highlight w:val="none"/>
        </w:rPr>
      </w:pPr>
      <w:r>
        <w:rPr>
          <w:rFonts w:eastAsia="方正仿宋_GBK"/>
          <w:bCs/>
          <w:color w:val="auto"/>
          <w:sz w:val="28"/>
          <w:szCs w:val="28"/>
          <w:highlight w:val="none"/>
        </w:rPr>
        <w:t xml:space="preserve">（7）是否以采购活动中供应商提供的样品作为参考：</w:t>
      </w:r>
      <w:r>
        <w:rPr>
          <w:rFonts w:ascii="Wingdings" w:hAnsi="Wingdings" w:eastAsia="Wingdings" w:cs="Wingdings"/>
          <w:color w:val="auto"/>
          <w:sz w:val="28"/>
          <w:szCs w:val="28"/>
          <w:highlight w:val="none"/>
        </w:rPr>
        <w:t xml:space="preserve">¨</w:t>
      </w:r>
      <w:r>
        <w:rPr>
          <w:rFonts w:eastAsia="方正仿宋_GBK"/>
          <w:color w:val="auto"/>
          <w:sz w:val="28"/>
          <w:szCs w:val="28"/>
          <w:highlight w:val="none"/>
        </w:rPr>
        <w:t xml:space="preserve">是 </w:t>
      </w:r>
      <w:r>
        <w:rPr>
          <w:rFonts w:ascii="Wingdings" w:hAnsi="Wingdings" w:eastAsia="Wingdings" w:cs="Wingdings"/>
          <w:iCs/>
          <w:color w:val="auto"/>
          <w:sz w:val="28"/>
          <w:szCs w:val="28"/>
          <w:highlight w:val="none"/>
        </w:rPr>
        <w:t xml:space="preserve">¨</w:t>
      </w:r>
      <w:r>
        <w:rPr>
          <w:rFonts w:eastAsia="方正仿宋_GBK"/>
          <w:iCs/>
          <w:color w:val="auto"/>
          <w:sz w:val="28"/>
          <w:szCs w:val="28"/>
          <w:highlight w:val="none"/>
        </w:rPr>
        <w:t xml:space="preserve">否</w:t>
      </w:r>
      <w:r/>
    </w:p>
    <w:p>
      <w:pPr>
        <w:ind w:firstLine="560"/>
        <w:spacing w:line="480" w:lineRule="exact"/>
        <w:tabs>
          <w:tab w:val="left" w:pos="1440" w:leader="none"/>
        </w:tabs>
        <w:rPr>
          <w:rFonts w:eastAsia="方正仿宋_GBK"/>
          <w:bCs/>
          <w:color w:val="auto"/>
          <w:sz w:val="28"/>
          <w:szCs w:val="28"/>
          <w:highlight w:val="none"/>
          <w:u w:val="single"/>
        </w:rPr>
      </w:pPr>
      <w:r>
        <w:rPr>
          <w:rFonts w:eastAsia="方正仿宋_GBK"/>
          <w:bCs/>
          <w:color w:val="auto"/>
          <w:sz w:val="28"/>
          <w:szCs w:val="28"/>
          <w:highlight w:val="none"/>
        </w:rPr>
        <w:t xml:space="preserve">（8）履约验收其他事项：</w:t>
      </w:r>
      <w:r>
        <w:rPr>
          <w:rFonts w:eastAsia="方正仿宋_GBK"/>
          <w:bCs/>
          <w:color w:val="auto"/>
          <w:sz w:val="28"/>
          <w:szCs w:val="28"/>
          <w:highlight w:val="none"/>
          <w:u w:val="single"/>
        </w:rPr>
        <w:t xml:space="preserve">      （产权过户登记等）          </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5.</w:t>
      </w:r>
      <w:r>
        <w:rPr>
          <w:rFonts w:eastAsia="方正仿宋_GBK"/>
          <w:b/>
          <w:color w:val="auto"/>
          <w:sz w:val="28"/>
          <w:szCs w:val="28"/>
          <w:highlight w:val="none"/>
        </w:rPr>
        <w:t xml:space="preserve">组成合同的文件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本协议书与下列文件一起构成合同文件，如下述文件之间有任何抵触、矛盾或歧义，应按以下顺序解释：</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（1）政府采购合同协议书及其变更、补充协议</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（2）政府采购合同专用条款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（3）政府采购合同通用条款</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（4）中标（成交）通知书</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（5）投标（响应）文件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（6）采购文件</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（7）有关技术文件，图纸</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（8）国家法律、行政法规和规章制度规定或合同约定的作为合同组成部分的其他文件</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6.</w:t>
      </w:r>
      <w:r>
        <w:rPr>
          <w:rFonts w:eastAsia="方正仿宋_GBK"/>
          <w:b/>
          <w:color w:val="auto"/>
          <w:sz w:val="28"/>
          <w:szCs w:val="28"/>
          <w:highlight w:val="none"/>
        </w:rPr>
        <w:t xml:space="preserve">合同生效</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本合同自</w:t>
      </w:r>
      <w:r>
        <w:rPr>
          <w:rFonts w:eastAsia="方正仿宋_GBK"/>
          <w:color w:val="auto"/>
          <w:sz w:val="28"/>
          <w:szCs w:val="28"/>
          <w:highlight w:val="none"/>
          <w:u w:val="single"/>
        </w:rPr>
        <w:t xml:space="preserve">                             </w:t>
      </w:r>
      <w:r>
        <w:rPr>
          <w:rFonts w:eastAsia="方正仿宋_GBK"/>
          <w:color w:val="auto"/>
          <w:sz w:val="28"/>
          <w:szCs w:val="28"/>
          <w:highlight w:val="none"/>
        </w:rPr>
        <w:t xml:space="preserve">生效。</w:t>
      </w:r>
      <w:r/>
    </w:p>
    <w:p>
      <w:pPr>
        <w:ind w:firstLine="562"/>
        <w:spacing w:line="480" w:lineRule="exact"/>
        <w:tabs>
          <w:tab w:val="left" w:pos="907" w:leader="none"/>
        </w:tabs>
        <w:rPr>
          <w:rFonts w:eastAsia="方正仿宋_GBK"/>
          <w:b/>
          <w:color w:val="auto"/>
          <w:sz w:val="28"/>
          <w:szCs w:val="28"/>
          <w:highlight w:val="none"/>
        </w:rPr>
      </w:pPr>
      <w:r>
        <w:rPr>
          <w:rFonts w:hint="eastAsia" w:eastAsia="方正仿宋_GBK"/>
          <w:b/>
          <w:color w:val="auto"/>
          <w:sz w:val="28"/>
          <w:szCs w:val="28"/>
          <w:highlight w:val="none"/>
        </w:rPr>
        <w:t xml:space="preserve">7.</w:t>
      </w:r>
      <w:r>
        <w:rPr>
          <w:rFonts w:eastAsia="方正仿宋_GBK"/>
          <w:b/>
          <w:color w:val="auto"/>
          <w:sz w:val="28"/>
          <w:szCs w:val="28"/>
          <w:highlight w:val="none"/>
        </w:rPr>
        <w:t xml:space="preserve">合同份数</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本合同一式</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份，甲方执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份，乙方执</w:t>
      </w:r>
      <w:r>
        <w:rPr>
          <w:rFonts w:eastAsia="方正仿宋_GBK"/>
          <w:color w:val="auto"/>
          <w:sz w:val="28"/>
          <w:szCs w:val="28"/>
          <w:highlight w:val="none"/>
          <w:u w:val="single"/>
        </w:rPr>
        <w:t xml:space="preserve">    </w:t>
      </w:r>
      <w:r>
        <w:rPr>
          <w:rFonts w:eastAsia="方正仿宋_GBK"/>
          <w:color w:val="auto"/>
          <w:sz w:val="28"/>
          <w:szCs w:val="28"/>
          <w:highlight w:val="none"/>
        </w:rPr>
        <w:t xml:space="preserve">份，均具有同等法律效力。</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合同订立时间：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年</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月</w:t>
      </w:r>
      <w:r>
        <w:rPr>
          <w:rFonts w:eastAsia="方正仿宋_GBK"/>
          <w:color w:val="auto"/>
          <w:sz w:val="28"/>
          <w:szCs w:val="28"/>
          <w:highlight w:val="none"/>
          <w:u w:val="single"/>
        </w:rPr>
        <w:t xml:space="preserve">      </w:t>
      </w:r>
      <w:r>
        <w:rPr>
          <w:rFonts w:eastAsia="方正仿宋_GBK"/>
          <w:color w:val="auto"/>
          <w:sz w:val="28"/>
          <w:szCs w:val="28"/>
          <w:highlight w:val="none"/>
        </w:rPr>
        <w:t xml:space="preserve">日</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合同订立地点：</w:t>
      </w:r>
      <w:r>
        <w:rPr>
          <w:rFonts w:eastAsia="方正仿宋_GBK"/>
          <w:color w:val="auto"/>
          <w:sz w:val="28"/>
          <w:szCs w:val="28"/>
          <w:highlight w:val="none"/>
          <w:u w:val="single"/>
        </w:rPr>
        <w:t xml:space="preserve">                           </w:t>
      </w:r>
      <w:r/>
    </w:p>
    <w:p>
      <w:pPr>
        <w:ind w:firstLine="420"/>
        <w:spacing w:line="480" w:lineRule="exact"/>
        <w:rPr>
          <w:rFonts w:ascii="方正仿宋_GBK" w:hAnsi="方正仿宋_GBK" w:eastAsia="方正仿宋_GBK" w:cs="方正仿宋_GBK"/>
          <w:color w:val="auto"/>
          <w:highlight w:val="none"/>
        </w:rPr>
      </w:pPr>
      <w:r>
        <w:rPr>
          <w:rFonts w:eastAsia="方正仿宋_GBK"/>
          <w:color w:val="auto"/>
          <w:sz w:val="28"/>
          <w:szCs w:val="28"/>
          <w:highlight w:val="none"/>
        </w:rPr>
        <w:t xml:space="preserve">附件：具体标的及其技术要求和商务要求、联合协议、分包意向协议等。</w:t>
      </w:r>
      <w:r/>
    </w:p>
    <w:p>
      <w:pPr>
        <w:ind w:firstLine="420"/>
        <w:spacing w:line="480" w:lineRule="exact"/>
        <w:rPr>
          <w:rFonts w:ascii="方正仿宋_GBK" w:hAnsi="方正仿宋_GBK" w:eastAsia="方正仿宋_GBK" w:cs="方正仿宋_GBK"/>
          <w:color w:val="auto"/>
          <w:highlight w:val="none"/>
        </w:rPr>
      </w:pPr>
      <w:r>
        <w:rPr>
          <w:rFonts w:ascii="方正仿宋_GBK" w:hAnsi="方正仿宋_GBK" w:eastAsia="方正仿宋_GBK" w:cs="方正仿宋_GBK"/>
          <w:color w:val="auto"/>
          <w:highlight w:val="none"/>
        </w:rPr>
      </w:r>
      <w:r/>
    </w:p>
    <w:tbl>
      <w:tblPr>
        <w:tblStyle w:val="802"/>
        <w:tblW w:w="9817"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16"/>
        <w:gridCol w:w="3713"/>
        <w:gridCol w:w="1377"/>
        <w:gridCol w:w="3411"/>
      </w:tblGrid>
      <w:tr>
        <w:trPr>
          <w:trHeight w:val="490"/>
        </w:trPr>
        <w:tc>
          <w:tcPr>
            <w:gridSpan w:val="2"/>
            <w:tcW w:w="5029"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甲方</w:t>
            </w:r>
            <w:r/>
          </w:p>
        </w:tc>
        <w:tc>
          <w:tcPr>
            <w:gridSpan w:val="2"/>
            <w:tcW w:w="478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乙方（供应商）</w:t>
            </w:r>
            <w:r/>
          </w:p>
        </w:tc>
      </w:tr>
      <w:tr>
        <w:trPr>
          <w:trHeight w:val="917"/>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单位名称（公章或合同章）</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1171"/>
        </w:trPr>
        <w:tc>
          <w:tcPr>
            <w:tcW w:w="1316"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713" w:type="dxa"/>
            <w:vAlign w:val="center"/>
            <w:vMerge w:val="restart"/>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法定代表人或其委托代理人（签章）</w:t>
            </w:r>
            <w:r/>
          </w:p>
        </w:tc>
        <w:tc>
          <w:tcPr>
            <w:tcW w:w="3411"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r>
      <w:tr>
        <w:trPr>
          <w:trHeight w:val="483"/>
        </w:trPr>
        <w:tc>
          <w:tcPr>
            <w:tcW w:w="1316"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vMerge w:val="continue"/>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拥有者性别</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住  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 系 人</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联系电话</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通信地址</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邮政编码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电子邮箱</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统一社会信用代码</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开户名称</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开户银行</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r>
        <w:trPr>
          <w:trHeight w:val="483"/>
        </w:trPr>
        <w:tc>
          <w:tcPr>
            <w:tcW w:w="1316"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37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ascii="方正仿宋_GBK" w:hAnsi="方正仿宋_GBK" w:eastAsia="方正仿宋_GBK" w:cs="方正仿宋_GBK"/>
                <w:color w:val="auto"/>
                <w:sz w:val="24"/>
                <w:szCs w:val="24"/>
                <w:highlight w:val="none"/>
              </w:rPr>
            </w:r>
            <w:r/>
          </w:p>
        </w:tc>
        <w:tc>
          <w:tcPr>
            <w:tcW w:w="137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银行账号</w:t>
            </w:r>
            <w:r/>
          </w:p>
        </w:tc>
        <w:tc>
          <w:tcPr>
            <w:tcW w:w="3411" w:type="dxa"/>
            <w:vAlign w:val="center"/>
            <w:textDirection w:val="lrTb"/>
            <w:noWrap w:val="false"/>
          </w:tcPr>
          <w:p>
            <w:pPr>
              <w:jc w:val="center"/>
              <w:rPr>
                <w:rFonts w:ascii="方正仿宋_GBK" w:hAnsi="方正仿宋_GBK" w:eastAsia="方正仿宋_GBK" w:cs="方正仿宋_GBK"/>
                <w:color w:val="auto"/>
                <w:spacing w:val="20"/>
                <w:sz w:val="24"/>
                <w:szCs w:val="24"/>
                <w:highlight w:val="none"/>
              </w:rPr>
            </w:pPr>
            <w:r>
              <w:rPr>
                <w:rFonts w:ascii="方正仿宋_GBK" w:hAnsi="方正仿宋_GBK" w:eastAsia="方正仿宋_GBK" w:cs="方正仿宋_GBK"/>
                <w:color w:val="auto"/>
                <w:spacing w:val="20"/>
                <w:sz w:val="24"/>
                <w:szCs w:val="24"/>
                <w:highlight w:val="none"/>
              </w:rPr>
            </w:r>
            <w:r/>
          </w:p>
        </w:tc>
      </w:tr>
    </w:tbl>
    <w:p>
      <w:pPr>
        <w:pStyle w:val="1047"/>
        <w:spacing w:before="156" w:line="480" w:lineRule="exact"/>
        <w:rPr>
          <w:rFonts w:ascii="Times New Roman" w:hAnsi="Times New Roman" w:eastAsia="方正仿宋_GBK"/>
          <w:color w:val="auto"/>
          <w:sz w:val="28"/>
          <w:szCs w:val="28"/>
          <w:highlight w:val="none"/>
          <w:lang w:eastAsia="zh-CN"/>
        </w:rPr>
      </w:pPr>
      <w:r>
        <w:rPr>
          <w:rFonts w:hint="eastAsia" w:ascii="方正仿宋_GBK" w:hAnsi="方正仿宋_GBK" w:eastAsia="方正仿宋_GBK" w:cs="方正仿宋_GBK"/>
          <w:color w:val="auto"/>
          <w:sz w:val="21"/>
          <w:szCs w:val="21"/>
          <w:highlight w:val="none"/>
          <w:u w:val="single"/>
          <w:lang w:eastAsia="zh-CN"/>
        </w:rPr>
        <w:br w:type="page" w:clear="all"/>
      </w:r>
      <w:bookmarkStart w:id="173" w:name="_Toc27624"/>
      <w:r>
        <w:rPr>
          <w:rFonts w:ascii="Times New Roman" w:hAnsi="Times New Roman" w:eastAsia="方正仿宋_GBK"/>
          <w:b w:val="0"/>
          <w:bCs w:val="0"/>
          <w:color w:val="auto"/>
          <w:sz w:val="28"/>
          <w:szCs w:val="28"/>
          <w:highlight w:val="none"/>
          <w:lang w:eastAsia="zh-CN"/>
        </w:rPr>
        <w:t xml:space="preserve">第二节 政府采购合同通用条款</w:t>
      </w:r>
      <w:bookmarkEnd w:id="173"/>
      <w:r/>
      <w:r/>
    </w:p>
    <w:p>
      <w:pPr>
        <w:jc w:val="left"/>
        <w:spacing w:line="480" w:lineRule="exact"/>
        <w:tabs>
          <w:tab w:val="left" w:pos="8820" w:leader="none"/>
          <w:tab w:val="left" w:pos="9345" w:leader="none"/>
          <w:tab w:val="left" w:pos="9765" w:leader="none"/>
        </w:tabs>
        <w:rPr>
          <w:rFonts w:eastAsia="方正仿宋_GBK"/>
          <w:b/>
          <w:bCs/>
          <w:color w:val="auto"/>
          <w:sz w:val="28"/>
          <w:szCs w:val="28"/>
          <w:highlight w:val="none"/>
        </w:rPr>
      </w:pPr>
      <w:r>
        <w:rPr>
          <w:rFonts w:eastAsia="方正仿宋_GBK"/>
          <w:b/>
          <w:color w:val="auto"/>
          <w:sz w:val="28"/>
          <w:szCs w:val="28"/>
          <w:highlight w:val="none"/>
        </w:rPr>
        <w:t xml:space="preserve">1. </w:t>
      </w:r>
      <w:r>
        <w:rPr>
          <w:rFonts w:eastAsia="方正仿宋_GBK"/>
          <w:b/>
          <w:bCs/>
          <w:color w:val="auto"/>
          <w:sz w:val="28"/>
          <w:szCs w:val="28"/>
          <w:highlight w:val="none"/>
        </w:rPr>
        <w:t xml:space="preserve">定义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1.1合同当事人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（1）采购人（以下称甲方）是指使用财政性资金，通过政府采购方式向供应商购买货物及其相关服务的国家机关、事业单位、团体组织。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（3）其他合同主体是指除采购人和供应商以外，</w:t>
      </w:r>
      <w:r>
        <w:rPr>
          <w:rFonts w:eastAsia="方正仿宋_GBK"/>
          <w:bCs/>
          <w:color w:val="auto"/>
          <w:sz w:val="28"/>
          <w:szCs w:val="28"/>
          <w:highlight w:val="none"/>
        </w:rPr>
        <w:t xml:space="preserve">依法参与合同缔结或履行，享有权利、承担义务的合同当事人</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1.2本合同下列术语应解释为：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（1）“合同”系指</w:t>
      </w:r>
      <w:r>
        <w:rPr>
          <w:rFonts w:eastAsia="方正仿宋_GBK"/>
          <w:bCs/>
          <w:color w:val="auto"/>
          <w:sz w:val="28"/>
          <w:szCs w:val="28"/>
          <w:highlight w:val="none"/>
        </w:rPr>
        <w:t xml:space="preserve">合同当事人意思表示达成一致的任何协议，包括签署的</w:t>
      </w:r>
      <w:r>
        <w:rPr>
          <w:rFonts w:eastAsia="方正仿宋_GBK"/>
          <w:color w:val="auto"/>
          <w:sz w:val="28"/>
          <w:szCs w:val="28"/>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（2）“合同价款”系指根据本合同规定乙方在全面履行合同义务后甲方应支付给乙方的价款。</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（3）“货物”系指乙方根据本合同规定须向甲方提供的各种形态和种类的物品，包括原材料、设备、产品（包括软件）及相关的其备品备件、工具、手册及</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技术资料和材料等。</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（4）“相关服务”系指根据合同规定，乙方应提供的与货物有关的技术、管理和</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服务，包括但不限于：管理和质量保证、运输、保险、检验、现场准备、安装、集成、调试、培训、维修、废弃处置、技术支持等以及合同中规定乙方应承担的</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color w:val="auto"/>
          <w:sz w:val="28"/>
          <w:szCs w:val="28"/>
          <w:highlight w:val="none"/>
        </w:rPr>
      </w:pPr>
      <w:r>
        <w:rPr>
          <w:rFonts w:eastAsia="方正仿宋_GBK"/>
          <w:color w:val="auto"/>
          <w:sz w:val="28"/>
          <w:szCs w:val="28"/>
          <w:highlight w:val="none"/>
        </w:rPr>
        <w:t xml:space="preserve">（7）其他术语解释，见【</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w:t>
      </w:r>
      <w:r/>
    </w:p>
    <w:p>
      <w:pPr>
        <w:numPr>
          <w:ilvl w:val="0"/>
          <w:numId w:val="5"/>
        </w:numPr>
        <w:jc w:val="left"/>
        <w:spacing w:line="480" w:lineRule="exact"/>
        <w:rPr>
          <w:rFonts w:eastAsia="方正仿宋_GBK"/>
          <w:b/>
          <w:bCs/>
          <w:color w:val="auto"/>
          <w:sz w:val="28"/>
          <w:szCs w:val="28"/>
          <w:highlight w:val="none"/>
        </w:rPr>
      </w:pPr>
      <w:r>
        <w:rPr>
          <w:rFonts w:eastAsia="方正仿宋_GBK"/>
          <w:b/>
          <w:color w:val="auto"/>
          <w:sz w:val="28"/>
          <w:szCs w:val="28"/>
          <w:highlight w:val="none"/>
        </w:rPr>
        <w:t xml:space="preserve">合同标的及金额</w:t>
      </w:r>
      <w:r/>
    </w:p>
    <w:p>
      <w:pPr>
        <w:ind w:firstLine="420"/>
        <w:jc w:val="left"/>
        <w:spacing w:line="480" w:lineRule="exact"/>
        <w:rPr>
          <w:rFonts w:eastAsia="方正仿宋_GBK"/>
          <w:b/>
          <w:bCs/>
          <w:i/>
          <w:iCs/>
          <w:color w:val="auto"/>
          <w:sz w:val="28"/>
          <w:szCs w:val="28"/>
          <w:highlight w:val="none"/>
        </w:rPr>
      </w:pPr>
      <w:r>
        <w:rPr>
          <w:rFonts w:eastAsia="方正仿宋_GBK"/>
          <w:color w:val="auto"/>
          <w:sz w:val="28"/>
          <w:szCs w:val="28"/>
          <w:highlight w:val="none"/>
        </w:rPr>
        <w:t xml:space="preserve">2.1 合同标的及金额应与中标（成交）结果一致。乙方为履行本合同而发生的所有费用均应包含在合同价款中，甲方不再另行支付</w:t>
      </w:r>
      <w:r>
        <w:rPr>
          <w:rFonts w:eastAsia="方正仿宋_GBK"/>
          <w:color w:val="auto"/>
          <w:sz w:val="28"/>
          <w:szCs w:val="28"/>
          <w:highlight w:val="none"/>
          <w:lang w:val="en"/>
        </w:rPr>
        <w:t xml:space="preserve">其他</w:t>
      </w:r>
      <w:r>
        <w:rPr>
          <w:rFonts w:eastAsia="方正仿宋_GBK"/>
          <w:color w:val="auto"/>
          <w:sz w:val="28"/>
          <w:szCs w:val="28"/>
          <w:highlight w:val="none"/>
        </w:rPr>
        <w:t xml:space="preserve">任何费用。</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3. 履行合同的时间、地点和方式</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3.1 乙方应当在约定的时间、地点，按照约定方式履行合同。</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4. 甲方的权利和义务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4.3 甲方有权要求乙方对缺陷部分予以修复，并按合同约定享有货物保修及其他合同约定的权利。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4.4 甲方应当按照合同约定及时对交付的货物进行验收，未在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约定的期限内对乙方履约提出任何异议或者向乙方作出任何说明的，视为验收通过。</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4.5 甲方应当根据合同约定及时向乙方支付合同价款，不得以内部人员变更、履行内部付款流程等为由，拒绝或迟延支付。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4.6 国家法律法规规定及</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约定应由甲方承担的其他义务和责任。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5. 乙方的权利和义务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5.1 签署合同后，乙方应确定项目负责人（或项目联系人），负责与本合同有关的事务。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2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5.3乙方有权根据合同约定向甲方收取合同价款。</w:t>
      </w:r>
      <w:r/>
    </w:p>
    <w:p>
      <w:pPr>
        <w:pStyle w:val="928"/>
        <w:ind w:firstLine="422"/>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5.4国家法律法规规定及</w:t>
      </w:r>
      <w:r>
        <w:rPr>
          <w:rFonts w:ascii="Times New Roman" w:hAnsi="Times New Roman" w:eastAsia="方正仿宋_GBK"/>
          <w:b/>
          <w:bCs/>
          <w:color w:val="auto"/>
          <w:highlight w:val="none"/>
          <w:lang w:eastAsia="zh-CN"/>
        </w:rPr>
        <w:t xml:space="preserve">【政府采购合同专用条款】</w:t>
      </w:r>
      <w:r>
        <w:rPr>
          <w:rFonts w:ascii="Times New Roman" w:hAnsi="Times New Roman" w:eastAsia="方正仿宋_GBK"/>
          <w:color w:val="auto"/>
          <w:highlight w:val="none"/>
          <w:lang w:eastAsia="zh-CN"/>
        </w:rPr>
        <w:t xml:space="preserve">约定应由乙方承担的其他义务和责任。</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6.</w:t>
      </w:r>
      <w:r>
        <w:rPr>
          <w:rFonts w:eastAsia="方正仿宋_GBK"/>
          <w:b/>
          <w:bCs/>
          <w:color w:val="auto"/>
          <w:sz w:val="28"/>
          <w:szCs w:val="28"/>
          <w:highlight w:val="none"/>
        </w:rPr>
        <w:t xml:space="preserve">合同履行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6.1 甲乙双方应当按照</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约定顺序履行合同义务；如果没有先后顺序的，应当同时履行。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7. 货物包装、运输、保险和交付要求</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7.1 本合同</w:t>
      </w:r>
      <w:r>
        <w:rPr>
          <w:rFonts w:eastAsia="方正仿宋_GBK"/>
          <w:bCs/>
          <w:color w:val="auto"/>
          <w:sz w:val="28"/>
          <w:szCs w:val="28"/>
          <w:highlight w:val="none"/>
        </w:rPr>
        <w:t xml:space="preserve">涉及商品包装、快递包装的，</w:t>
      </w:r>
      <w:r>
        <w:rPr>
          <w:rFonts w:eastAsia="方正仿宋_GBK"/>
          <w:color w:val="auto"/>
          <w:sz w:val="28"/>
          <w:szCs w:val="28"/>
          <w:highlight w:val="none"/>
        </w:rPr>
        <w:t xml:space="preserve">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包装应适应远距离运输、防潮、防震、防锈和防野蛮装卸等要求，确保货物安全无损地运抵</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约定的</w:t>
      </w:r>
      <w:r>
        <w:rPr>
          <w:rFonts w:eastAsia="方正仿宋_GBK"/>
          <w:color w:val="auto"/>
          <w:sz w:val="28"/>
          <w:szCs w:val="28"/>
          <w:highlight w:val="none"/>
        </w:rPr>
        <w:t xml:space="preserve">指定现场。</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7.2 除</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另有约定外，</w:t>
      </w:r>
      <w:r>
        <w:rPr>
          <w:rFonts w:eastAsia="方正仿宋_GBK"/>
          <w:color w:val="auto"/>
          <w:sz w:val="28"/>
          <w:szCs w:val="28"/>
          <w:highlight w:val="none"/>
        </w:rPr>
        <w:t xml:space="preserve">乙方负责办理将货物运抵本合同规定的交货地点，并装卸、交付至甲方的一切运输事项，相关费用应包含在合同价款中。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7.3 货物保险要求按</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规定执行</w:t>
      </w:r>
      <w:r>
        <w:rPr>
          <w:rFonts w:eastAsia="方正仿宋_GBK"/>
          <w:color w:val="auto"/>
          <w:sz w:val="28"/>
          <w:szCs w:val="28"/>
          <w:highlight w:val="none"/>
        </w:rPr>
        <w:t xml:space="preserve">。</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7.5 乙方在运输到达之前应提前通知甲方，并提示货物运输装卸的注意事项，甲方配合乙方做好货物的接收工作。</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7.6 如因包装、运输问题导致货物损毁、丢失或者品质下降，甲方有权要求降价、换货、拒收部分或整批货物，由此产生的费用和损失，均由乙方承担。</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7.7交货期限：中标供应商须在签订合同前，与采购人明确生产和安装节点进度。</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本项目采用分批生产、供货及安装的方式，中标供应商须服从采购人分批供货进度安排。具体要求如下：</w:t>
      </w:r>
      <w:r/>
    </w:p>
    <w:p>
      <w:pPr>
        <w:ind w:firstLine="560"/>
        <w:spacing w:line="480" w:lineRule="exact"/>
        <w:rPr>
          <w:rFonts w:eastAsia="方正仿宋_GBK"/>
          <w:color w:val="auto"/>
          <w:sz w:val="28"/>
          <w:szCs w:val="28"/>
          <w:highlight w:val="none"/>
        </w:rPr>
      </w:pPr>
      <w:r>
        <w:rPr>
          <w:rFonts w:hint="eastAsia" w:eastAsia="方正仿宋_GBK"/>
          <w:color w:val="auto"/>
          <w:sz w:val="28"/>
          <w:szCs w:val="28"/>
          <w:highlight w:val="none"/>
        </w:rPr>
        <w:t xml:space="preserve">（1）</w:t>
      </w:r>
      <w:r>
        <w:rPr>
          <w:rFonts w:eastAsia="方正仿宋_GBK"/>
          <w:color w:val="auto"/>
          <w:sz w:val="28"/>
          <w:szCs w:val="28"/>
          <w:highlight w:val="none"/>
        </w:rPr>
        <w:t xml:space="preserve">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60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天内完成第1批次供货并安装至指定位置，</w:t>
      </w:r>
      <w:r>
        <w:rPr>
          <w:rFonts w:hint="eastAsia" w:eastAsia="方正仿宋_GBK"/>
          <w:color w:val="auto"/>
          <w:sz w:val="28"/>
          <w:szCs w:val="28"/>
          <w:highlight w:val="none"/>
        </w:rPr>
        <w:t xml:space="preserve">货物及数量为联排桌椅1000张；实木凳</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2468张</w:t>
      </w:r>
      <w:r>
        <w:rPr>
          <w:rFonts w:eastAsia="方正仿宋_GBK"/>
          <w:color w:val="auto"/>
          <w:sz w:val="28"/>
          <w:szCs w:val="28"/>
          <w:highlight w:val="none"/>
        </w:rPr>
        <w:t xml:space="preserve">； </w:t>
      </w:r>
      <w:r/>
    </w:p>
    <w:p>
      <w:pPr>
        <w:ind w:firstLine="560"/>
        <w:spacing w:line="480" w:lineRule="exact"/>
        <w:rPr>
          <w:rFonts w:eastAsia="方正仿宋_GBK"/>
          <w:color w:val="auto"/>
          <w:sz w:val="28"/>
          <w:szCs w:val="28"/>
          <w:highlight w:val="none"/>
        </w:rPr>
      </w:pPr>
      <w:r>
        <w:rPr>
          <w:rFonts w:eastAsia="方正仿宋_GBK"/>
          <w:color w:val="auto"/>
          <w:sz w:val="28"/>
          <w:szCs w:val="28"/>
          <w:highlight w:val="none"/>
        </w:rPr>
        <w:t xml:space="preserve">（2）合同签订后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90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天内完成第2批次供货并安装至指定位置，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联排桌椅3500张</w:t>
      </w:r>
      <w:r>
        <w:rPr>
          <w:rFonts w:eastAsia="方正仿宋_GBK"/>
          <w:color w:val="auto"/>
          <w:sz w:val="28"/>
          <w:szCs w:val="28"/>
          <w:highlight w:val="none"/>
        </w:rPr>
        <w:t xml:space="preserve">；</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（3）合同签订后</w:t>
      </w:r>
      <w:r>
        <w:rPr>
          <w:rFonts w:eastAsia="方正仿宋_GBK"/>
          <w:color w:val="auto"/>
          <w:sz w:val="28"/>
          <w:szCs w:val="28"/>
          <w:highlight w:val="none"/>
          <w:u w:val="single"/>
        </w:rPr>
        <w:t xml:space="preserve"> </w:t>
      </w:r>
      <w:r>
        <w:rPr>
          <w:rFonts w:hint="eastAsia" w:eastAsia="方正仿宋_GBK"/>
          <w:color w:val="auto"/>
          <w:sz w:val="28"/>
          <w:szCs w:val="28"/>
          <w:highlight w:val="none"/>
          <w:u w:val="single"/>
        </w:rPr>
        <w:t xml:space="preserve"> 120</w:t>
      </w:r>
      <w:r>
        <w:rPr>
          <w:rFonts w:eastAsia="方正仿宋_GBK"/>
          <w:color w:val="auto"/>
          <w:sz w:val="28"/>
          <w:szCs w:val="28"/>
          <w:highlight w:val="none"/>
          <w:u w:val="single"/>
        </w:rPr>
        <w:t xml:space="preserve">  </w:t>
      </w:r>
      <w:r>
        <w:rPr>
          <w:rFonts w:eastAsia="方正仿宋_GBK"/>
          <w:color w:val="auto"/>
          <w:sz w:val="28"/>
          <w:szCs w:val="28"/>
          <w:highlight w:val="none"/>
        </w:rPr>
        <w:t xml:space="preserve">天内，完成第3批次供货并安装至指定位置，</w:t>
      </w:r>
      <w:r>
        <w:rPr>
          <w:rFonts w:hint="eastAsia" w:eastAsia="方正仿宋_GBK"/>
          <w:color w:val="auto"/>
          <w:sz w:val="28"/>
          <w:szCs w:val="28"/>
          <w:highlight w:val="none"/>
        </w:rPr>
        <w:t xml:space="preserve">货物及</w:t>
      </w:r>
      <w:r>
        <w:rPr>
          <w:rFonts w:eastAsia="方正仿宋_GBK"/>
          <w:color w:val="auto"/>
          <w:sz w:val="28"/>
          <w:szCs w:val="28"/>
          <w:highlight w:val="none"/>
        </w:rPr>
        <w:t xml:space="preserve">数量为</w:t>
      </w:r>
      <w:r>
        <w:rPr>
          <w:rFonts w:hint="eastAsia" w:eastAsia="方正仿宋_GBK"/>
          <w:color w:val="auto"/>
          <w:sz w:val="28"/>
          <w:szCs w:val="28"/>
          <w:highlight w:val="none"/>
        </w:rPr>
        <w:t xml:space="preserve">联排桌椅2954张；录播室所有的活动桌椅数量。</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以上规定日期只可提前，不可延后。如有延后，将适用相关违约责任条款（违约责任条款的具体规定详见采购文件）。</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7.8交货地点：南通职业大学钟秀校区</w:t>
      </w:r>
      <w:r>
        <w:rPr>
          <w:rFonts w:hint="eastAsia" w:eastAsia="方正仿宋_GBK"/>
          <w:color w:val="auto"/>
          <w:sz w:val="28"/>
          <w:szCs w:val="28"/>
          <w:highlight w:val="none"/>
        </w:rPr>
        <w:t xml:space="preserve">教学楼</w:t>
      </w:r>
      <w:r>
        <w:rPr>
          <w:rFonts w:eastAsia="方正仿宋_GBK"/>
          <w:color w:val="auto"/>
          <w:sz w:val="28"/>
          <w:szCs w:val="28"/>
          <w:highlight w:val="none"/>
        </w:rPr>
        <w:t xml:space="preserve">（具体由招标人指定）。</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7.9货物的安装调试</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（1）乙方负责合同项下所有货物的安装调试，一切费用由乙方负责。</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（2）乙方安装时须对各安装场地内的其他设备、设施有良好保护措施，如造成损害照价赔偿。</w:t>
      </w:r>
      <w:r/>
    </w:p>
    <w:p>
      <w:pPr>
        <w:ind w:firstLine="560"/>
        <w:jc w:val="left"/>
        <w:spacing w:line="480" w:lineRule="exact"/>
        <w:widowControl/>
        <w:rPr>
          <w:rFonts w:eastAsia="方正仿宋_GBK"/>
          <w:color w:val="auto"/>
          <w:sz w:val="28"/>
          <w:szCs w:val="28"/>
          <w:highlight w:val="none"/>
        </w:rPr>
      </w:pPr>
      <w:r>
        <w:rPr>
          <w:rFonts w:eastAsia="方正仿宋_GBK"/>
          <w:color w:val="auto"/>
          <w:sz w:val="28"/>
          <w:szCs w:val="28"/>
          <w:highlight w:val="none"/>
        </w:rPr>
        <w:t xml:space="preserve">（3）如因乙方产品质量或安装问题造成的安全责任由乙方承担。</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8. 质量标准和保证</w:t>
      </w:r>
      <w:r/>
    </w:p>
    <w:p>
      <w:pPr>
        <w:pStyle w:val="1163"/>
        <w:ind w:firstLine="420"/>
        <w:jc w:val="left"/>
        <w:spacing w:line="480" w:lineRule="exact"/>
        <w:rPr>
          <w:rFonts w:ascii="Times New Roman" w:hAnsi="Times New Roman" w:eastAsia="方正仿宋_GBK" w:cs="Times New Roman"/>
          <w:b/>
          <w:color w:val="auto"/>
          <w:sz w:val="28"/>
          <w:szCs w:val="28"/>
          <w:highlight w:val="none"/>
        </w:rPr>
      </w:pPr>
      <w:r>
        <w:rPr>
          <w:rFonts w:ascii="Times New Roman" w:hAnsi="Times New Roman" w:eastAsia="方正仿宋_GBK" w:cs="Times New Roman"/>
          <w:color w:val="auto"/>
          <w:sz w:val="28"/>
          <w:szCs w:val="28"/>
          <w:highlight w:val="none"/>
        </w:rPr>
        <w:t xml:space="preserve">8.1 质量标准</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63"/>
        <w:ind w:firstLine="420"/>
        <w:jc w:val="left"/>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（2）采用中华人民共和国法定计量单位。</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（3）乙方所提供的货物应符合国家有关安全、环保、卫生的规定。</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8.2 保证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规定或乙方书面承诺（两者以较长的为准）的质量保证期内，本保证保持有效。</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（2）在质量保证期内所发现的缺陷，甲方应尽快以书面形式通知乙方。</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（3）乙方收到通知后，应在</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规定的响应时间内以合理的速度免费维修或更换有缺陷的货物或部件。</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9. 权利瑕疵担保</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9.1 乙方保证对其出售的货物享有合法的权利。</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9.2 乙方保证在交付的货物上不存在抵押权等担保物权。</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9.3 如甲方使用上述货物构成对第三人侵权的，则由乙方承担全部责任。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10. 知识产权保护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10.1 乙方对其所销售的货物应当享有知识产权或经权利人合法授权，保证没有侵犯任何第三人的知识产权等权利。</w:t>
      </w:r>
      <w:bookmarkStart w:id="174" w:name="_Hlk163047038"/>
      <w:r>
        <w:rPr>
          <w:rFonts w:eastAsia="方正仿宋_GBK"/>
          <w:color w:val="auto"/>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74"/>
      <w:r>
        <w:rPr>
          <w:rFonts w:eastAsia="方正仿宋_GBK"/>
          <w:color w:val="auto"/>
          <w:sz w:val="28"/>
          <w:szCs w:val="28"/>
          <w:highlight w:val="none"/>
        </w:rPr>
        <w:t xml:space="preserve">。</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11. 保密义务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中约定。</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12. 合同价款支付</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12.1 合同价款支付按照国库集中支付制度及财政管理相关规定执行。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28"/>
        <w:spacing w:line="480" w:lineRule="exact"/>
        <w:rPr>
          <w:rFonts w:ascii="Times New Roman" w:hAnsi="Times New Roman" w:eastAsia="方正仿宋_GBK"/>
          <w:b/>
          <w:bCs/>
          <w:color w:val="auto"/>
          <w:highlight w:val="none"/>
          <w:lang w:eastAsia="zh-CN"/>
        </w:rPr>
      </w:pPr>
      <w:r>
        <w:rPr>
          <w:rFonts w:ascii="Times New Roman" w:hAnsi="Times New Roman" w:eastAsia="方正仿宋_GBK"/>
          <w:b/>
          <w:bCs/>
          <w:color w:val="auto"/>
          <w:highlight w:val="none"/>
          <w:lang w:eastAsia="zh-CN"/>
        </w:rPr>
        <w:t xml:space="preserve">13. 履约保证金</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13.1 乙方应当以支票、汇票、本票或者金融机构、担保机构出具的保函等非现金形式提交。</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13.2 如果乙方出现</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13.3 甲方在项目通过验收后按照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规定的时间内将履约保证金退还乙方；逾期退还的，乙方可要求甲方支付违约金，违约金按照</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规定支付。</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13.4乙方凭成交通知书和履约保证金支付凭证与甲方签订合同。超期或未有协商，则视为自动放弃成交资格。</w:t>
      </w:r>
      <w:r/>
    </w:p>
    <w:p>
      <w:pPr>
        <w:jc w:val="left"/>
        <w:spacing w:line="480" w:lineRule="exact"/>
        <w:rPr>
          <w:rFonts w:eastAsia="方正仿宋_GBK"/>
          <w:b/>
          <w:color w:val="auto"/>
          <w:sz w:val="28"/>
          <w:szCs w:val="28"/>
          <w:highlight w:val="none"/>
        </w:rPr>
      </w:pPr>
      <w:r>
        <w:rPr>
          <w:rFonts w:eastAsia="方正仿宋_GBK"/>
          <w:b/>
          <w:bCs/>
          <w:color w:val="auto"/>
          <w:sz w:val="28"/>
          <w:szCs w:val="28"/>
          <w:highlight w:val="none"/>
        </w:rPr>
        <w:t xml:space="preserve">14. </w:t>
      </w:r>
      <w:r>
        <w:rPr>
          <w:rFonts w:eastAsia="方正仿宋_GBK"/>
          <w:b/>
          <w:color w:val="auto"/>
          <w:sz w:val="28"/>
          <w:szCs w:val="28"/>
          <w:highlight w:val="none"/>
        </w:rPr>
        <w:t xml:space="preserve">售后服务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14.1 除项目不涉及或采购活动中明确约定无须承担外，乙方还应提供下列服务：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（1）货物的现场移动、安装、调试、启动监督及技术支持；</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（2）提供货物组装和维修所需的专用工具和辅助材料；</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（3）在</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约定的期限内对所有的货物实施运行监督、维修，但前提条件是该服务并不能免除乙方在质量保证期内所承担的义务；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（4）在制造商所在地或指定现场就货物的安装、启动、运营、维护、废弃处置等对甲方操作人员进行培训；</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（5）依照法律、行政法规的规定或者按照</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约定，货物在有效使用年限届满后应予回收的，乙方负有自行或者委托第三人对货物予以回收的义务；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（6）</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规定由乙方提供的其他服务。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14.2 乙方提供的售后服务的费用已包含在合同价款中，甲方不再另行支付。</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15. 违约责任</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15.1质量瑕疵的违约责任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乙方提供的产品不符合合同约定的质量标准或存在产品质量缺陷，甲方有权要求乙方根据</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要求</w:t>
      </w:r>
      <w:r>
        <w:rPr>
          <w:rFonts w:eastAsia="方正仿宋_GBK"/>
          <w:color w:val="auto"/>
          <w:sz w:val="28"/>
          <w:szCs w:val="28"/>
          <w:highlight w:val="none"/>
        </w:rPr>
        <w:t xml:space="preserve">及时修理、重作、更换，并承担由此给甲方造成的损失。</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15.2 迟延交货的违约责任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（2）如果乙方没有按照合同规定的时间交货和提供相关服务，甲方有权从货款中扣除误期赔偿费而不影响合同项下的其他补救方法，赔偿费按</w:t>
      </w:r>
      <w:r>
        <w:rPr>
          <w:rFonts w:eastAsia="方正仿宋_GBK"/>
          <w:b/>
          <w:color w:val="auto"/>
          <w:sz w:val="28"/>
          <w:szCs w:val="28"/>
          <w:highlight w:val="none"/>
        </w:rPr>
        <w:t xml:space="preserve">【政府采购合同专用条款】</w:t>
      </w:r>
      <w:r>
        <w:rPr>
          <w:rFonts w:eastAsia="方正仿宋_GBK"/>
          <w:color w:val="auto"/>
          <w:sz w:val="28"/>
          <w:szCs w:val="28"/>
          <w:highlight w:val="none"/>
        </w:rPr>
        <w:t xml:space="preserve">规定执行。如果涉及公共利益，且赔偿金额无法弥补公共利益损失，甲方可要求继续履行或者采取其他补救措施。</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15.3 迟延支付的违约责任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甲方存在迟延支付乙方合同款项的，应当承担</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规定的逾期付款利息。</w:t>
      </w:r>
      <w:r/>
    </w:p>
    <w:p>
      <w:pPr>
        <w:ind w:firstLine="420"/>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15.4其他违约责任根据项目实际需要按</w:t>
      </w:r>
      <w:r>
        <w:rPr>
          <w:rFonts w:eastAsia="方正仿宋_GBK"/>
          <w:b/>
          <w:bCs/>
          <w:color w:val="auto"/>
          <w:sz w:val="28"/>
          <w:szCs w:val="28"/>
          <w:highlight w:val="none"/>
        </w:rPr>
        <w:t xml:space="preserve">【政府采购合同专用条款】</w:t>
      </w:r>
      <w:r>
        <w:rPr>
          <w:rFonts w:eastAsia="方正仿宋_GBK"/>
          <w:color w:val="auto"/>
          <w:sz w:val="28"/>
          <w:szCs w:val="28"/>
          <w:highlight w:val="none"/>
        </w:rPr>
        <w:t xml:space="preserve">规定执行。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15.5其他具体违约责任条款详见采购文件要求。</w:t>
      </w:r>
      <w:r/>
    </w:p>
    <w:p>
      <w:pPr>
        <w:jc w:val="left"/>
        <w:spacing w:line="480" w:lineRule="exact"/>
        <w:rPr>
          <w:rFonts w:eastAsia="方正仿宋_GBK"/>
          <w:b/>
          <w:color w:val="auto"/>
          <w:sz w:val="28"/>
          <w:szCs w:val="28"/>
          <w:highlight w:val="none"/>
        </w:rPr>
      </w:pPr>
      <w:r>
        <w:rPr>
          <w:rFonts w:hint="eastAsia" w:eastAsia="方正仿宋_GBK"/>
          <w:b/>
          <w:color w:val="auto"/>
          <w:sz w:val="28"/>
          <w:szCs w:val="28"/>
          <w:highlight w:val="none"/>
        </w:rPr>
        <w:t xml:space="preserve">16.</w:t>
      </w:r>
      <w:r>
        <w:rPr>
          <w:rFonts w:eastAsia="方正仿宋_GBK"/>
          <w:b/>
          <w:color w:val="auto"/>
          <w:sz w:val="28"/>
          <w:szCs w:val="28"/>
          <w:highlight w:val="none"/>
        </w:rPr>
        <w:t xml:space="preserve">合同变更、中止与终止</w:t>
      </w:r>
      <w:r/>
    </w:p>
    <w:p>
      <w:pPr>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    16.1合同的变更</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16.2合同的中止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（1）合同履行过程中因供应商就采购文件、采购过程或结果提起投诉的，甲方认为有必要的，可以中止合同的履行。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（4）甲方不得以行政区划调整、政府换届、机构或者职能调整以及相关责任人更替为由中止合同。</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16.3合同的终止</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（1）合同因有效期限届满而终止；</w:t>
      </w:r>
      <w:r/>
    </w:p>
    <w:p>
      <w:pPr>
        <w:ind w:firstLine="420"/>
        <w:spacing w:line="480" w:lineRule="exact"/>
        <w:rPr>
          <w:rFonts w:eastAsia="方正仿宋_GBK"/>
          <w:color w:val="auto"/>
          <w:sz w:val="28"/>
          <w:szCs w:val="28"/>
          <w:highlight w:val="none"/>
        </w:rPr>
      </w:pPr>
      <w:r>
        <w:rPr>
          <w:rFonts w:eastAsia="方正仿宋_GBK"/>
          <w:color w:val="auto"/>
          <w:sz w:val="28"/>
          <w:szCs w:val="28"/>
          <w:highlight w:val="none"/>
        </w:rPr>
        <w:t xml:space="preserve">（2）乙方未按合同约定履行，构成根本性违约的，甲方有权终止合同，并追究乙方的违约责任。</w:t>
      </w:r>
      <w:r/>
    </w:p>
    <w:p>
      <w:pPr>
        <w:pStyle w:val="1156"/>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16.4 涉及国家利益、社会公共利益的情形</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17. 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17.1 乙方不得将合同转包给其他供应商。涉及合同分包的，乙方应根据采购文件和投标（响应）文件规定进行合同分包。</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18. 不可抗力</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18.1 不可抗力是指合同双方不能预见、不能避免且不能克服的客观情况。</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18.2 任何一方对由于不可抗力造成的部分或全部不能履行合同不承担违约责任。但迟延履行后发生不可抗力的，不能免除责任。</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80" w:lineRule="exact"/>
        <w:rPr>
          <w:rFonts w:eastAsia="方正仿宋_GBK"/>
          <w:b/>
          <w:bCs/>
          <w:color w:val="auto"/>
          <w:sz w:val="28"/>
          <w:szCs w:val="28"/>
          <w:highlight w:val="none"/>
        </w:rPr>
      </w:pPr>
      <w:r>
        <w:rPr>
          <w:rFonts w:eastAsia="方正仿宋_GBK"/>
          <w:b/>
          <w:bCs/>
          <w:color w:val="auto"/>
          <w:sz w:val="28"/>
          <w:szCs w:val="28"/>
          <w:highlight w:val="none"/>
        </w:rPr>
        <w:t xml:space="preserve">19. 解决争议的方法</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19.2选择仲裁的，应在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中明确仲裁机构及仲裁地；通过诉讼方式解决的，可以在</w:t>
      </w:r>
      <w:r>
        <w:rPr>
          <w:rFonts w:ascii="Times New Roman" w:hAnsi="Times New Roman" w:eastAsia="方正仿宋_GBK" w:cs="Times New Roman"/>
          <w:b/>
          <w:bCs/>
          <w:color w:val="auto"/>
          <w:sz w:val="28"/>
          <w:szCs w:val="28"/>
          <w:highlight w:val="none"/>
        </w:rPr>
        <w:t xml:space="preserve">【政府采购合同专用条款】</w:t>
      </w:r>
      <w:r>
        <w:rPr>
          <w:rFonts w:ascii="Times New Roman" w:hAnsi="Times New Roman" w:eastAsia="方正仿宋_GBK" w:cs="Times New Roman"/>
          <w:color w:val="auto"/>
          <w:sz w:val="28"/>
          <w:szCs w:val="28"/>
          <w:highlight w:val="none"/>
        </w:rPr>
        <w:t xml:space="preserve">中进一步约定选择与争议有实际联系的地点的人民法院管辖，但管辖法院的约定不得违反级别管辖和专属管辖的规定。</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19.3如甲乙双方有争议的事项不影响合同其他部分的履行，在争议解决期间，合同其他部分应当继续履行。</w:t>
      </w:r>
      <w:r/>
    </w:p>
    <w:p>
      <w:pPr>
        <w:jc w:val="left"/>
        <w:spacing w:line="480" w:lineRule="exact"/>
        <w:rPr>
          <w:rFonts w:eastAsia="方正仿宋_GBK"/>
          <w:color w:val="auto"/>
          <w:sz w:val="28"/>
          <w:szCs w:val="28"/>
          <w:highlight w:val="none"/>
        </w:rPr>
      </w:pPr>
      <w:r>
        <w:rPr>
          <w:rFonts w:eastAsia="方正仿宋_GBK"/>
          <w:b/>
          <w:color w:val="auto"/>
          <w:sz w:val="28"/>
          <w:szCs w:val="28"/>
          <w:highlight w:val="none"/>
        </w:rPr>
        <w:t xml:space="preserve">20. 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20.1 </w:t>
      </w:r>
      <w:r>
        <w:rPr>
          <w:rFonts w:eastAsia="方正仿宋_GBK"/>
          <w:color w:val="auto"/>
          <w:sz w:val="28"/>
          <w:szCs w:val="28"/>
          <w:highlight w:val="none"/>
          <w:lang w:val="en-GB"/>
        </w:rPr>
        <w:t xml:space="preserve">本合同应当按照规定执行政府采购政策。</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20.2 本合同依法执行政府采购政策的方式和内容，属于合同履约验收的范围。甲乙双方</w:t>
      </w:r>
      <w:r>
        <w:rPr>
          <w:rFonts w:eastAsia="方正仿宋_GBK"/>
          <w:color w:val="auto"/>
          <w:sz w:val="28"/>
          <w:szCs w:val="28"/>
          <w:highlight w:val="none"/>
          <w:lang w:val="en-GB"/>
        </w:rPr>
        <w:t xml:space="preserve">未按规定要求执行政府采购政策造成损失的</w:t>
      </w:r>
      <w:r>
        <w:rPr>
          <w:rFonts w:eastAsia="方正仿宋_GBK"/>
          <w:color w:val="auto"/>
          <w:sz w:val="28"/>
          <w:szCs w:val="28"/>
          <w:highlight w:val="none"/>
        </w:rPr>
        <w:t xml:space="preserve">，有过错的一方应当承担赔偿责任，双方都有过错的，各自承担相应的责任。</w:t>
      </w:r>
      <w:r/>
    </w:p>
    <w:p>
      <w:pPr>
        <w:pStyle w:val="928"/>
        <w:ind w:firstLine="480"/>
        <w:spacing w:line="480" w:lineRule="exact"/>
        <w:rPr>
          <w:rFonts w:ascii="Times New Roman" w:hAnsi="Times New Roman" w:eastAsia="方正仿宋_GBK"/>
          <w:color w:val="auto"/>
          <w:highlight w:val="none"/>
          <w:lang w:eastAsia="zh-CN"/>
        </w:rPr>
      </w:pPr>
      <w:r>
        <w:rPr>
          <w:rFonts w:ascii="Times New Roman" w:hAnsi="Times New Roman" w:eastAsia="方正仿宋_GBK"/>
          <w:color w:val="auto"/>
          <w:highlight w:val="none"/>
          <w:lang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21. 法律适用</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21.1本合同的订立、生效、解释、履行及与本合同有关的争议解决，均适用法律、行政法规。</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21.2本合同条款与法律、行政法规的强制性规定不一致的，双方当事人应按照法律、行政法规的强制性规定修改本合同的相关条款。</w:t>
      </w:r>
      <w:r/>
    </w:p>
    <w:p>
      <w:pPr>
        <w:jc w:val="left"/>
        <w:spacing w:line="480" w:lineRule="exact"/>
        <w:rPr>
          <w:rFonts w:eastAsia="方正仿宋_GBK"/>
          <w:b/>
          <w:color w:val="auto"/>
          <w:sz w:val="28"/>
          <w:szCs w:val="28"/>
          <w:highlight w:val="none"/>
        </w:rPr>
      </w:pPr>
      <w:r>
        <w:rPr>
          <w:rFonts w:eastAsia="方正仿宋_GBK"/>
          <w:b/>
          <w:color w:val="auto"/>
          <w:sz w:val="28"/>
          <w:szCs w:val="28"/>
          <w:highlight w:val="none"/>
        </w:rPr>
        <w:t xml:space="preserve">22. 通知</w:t>
      </w:r>
      <w:r/>
    </w:p>
    <w:p>
      <w:pPr>
        <w:pStyle w:val="1156"/>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22.1本合同任何一方向对方发出的通知、信件、数据电文等，应当发送至本合同第一部分《政府采购合同协议书》所约定的通讯地址、联系人、联系电话或电子邮箱。</w:t>
      </w:r>
      <w:r/>
    </w:p>
    <w:p>
      <w:pPr>
        <w:pStyle w:val="1156"/>
        <w:ind w:firstLine="0"/>
        <w:jc w:val="both"/>
        <w:spacing w:line="480" w:lineRule="exact"/>
        <w:rPr>
          <w:rFonts w:ascii="Times New Roman" w:hAnsi="Times New Roman" w:eastAsia="方正仿宋_GBK" w:cs="Times New Roman"/>
          <w:color w:val="auto"/>
          <w:sz w:val="28"/>
          <w:szCs w:val="28"/>
          <w:highlight w:val="none"/>
        </w:rPr>
      </w:pPr>
      <w:r>
        <w:rPr>
          <w:rFonts w:ascii="Times New Roman" w:hAnsi="Times New Roman" w:eastAsia="方正仿宋_GBK" w:cs="Times New Roman"/>
          <w:color w:val="auto"/>
          <w:sz w:val="28"/>
          <w:szCs w:val="28"/>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22.3本合同一方给另一方的通知均应采用书面形式，传真或快递送到本合同中规定的对方的地址和办理签收手续。</w:t>
      </w:r>
      <w:r/>
    </w:p>
    <w:p>
      <w:pPr>
        <w:ind w:firstLine="420"/>
        <w:jc w:val="left"/>
        <w:spacing w:line="480" w:lineRule="exact"/>
        <w:rPr>
          <w:rFonts w:eastAsia="方正仿宋_GBK"/>
          <w:color w:val="auto"/>
          <w:sz w:val="28"/>
          <w:szCs w:val="28"/>
          <w:highlight w:val="none"/>
        </w:rPr>
      </w:pPr>
      <w:r>
        <w:rPr>
          <w:rFonts w:eastAsia="方正仿宋_GBK"/>
          <w:color w:val="auto"/>
          <w:sz w:val="28"/>
          <w:szCs w:val="28"/>
          <w:highlight w:val="none"/>
        </w:rPr>
        <w:t xml:space="preserve">22.4通知以送达之日或通知书中规定的生效之日起生效，两者中以较迟之日为准。</w:t>
      </w:r>
      <w:r/>
    </w:p>
    <w:p>
      <w:pPr>
        <w:jc w:val="left"/>
        <w:spacing w:line="48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23.</w:t>
      </w:r>
      <w:r>
        <w:rPr>
          <w:rFonts w:eastAsia="方正仿宋_GBK"/>
          <w:b/>
          <w:bCs/>
          <w:color w:val="auto"/>
          <w:sz w:val="28"/>
          <w:szCs w:val="28"/>
          <w:highlight w:val="none"/>
        </w:rPr>
        <w:t xml:space="preserve">合同未尽事项</w:t>
      </w:r>
      <w:r/>
    </w:p>
    <w:p>
      <w:pPr>
        <w:ind w:firstLine="420"/>
        <w:jc w:val="left"/>
        <w:spacing w:line="480" w:lineRule="exact"/>
        <w:rPr>
          <w:rFonts w:eastAsia="方正仿宋_GBK"/>
          <w:bCs/>
          <w:color w:val="auto"/>
          <w:sz w:val="28"/>
          <w:szCs w:val="28"/>
          <w:highlight w:val="none"/>
        </w:rPr>
      </w:pPr>
      <w:r>
        <w:rPr>
          <w:rFonts w:eastAsia="方正仿宋_GBK"/>
          <w:bCs/>
          <w:color w:val="auto"/>
          <w:sz w:val="28"/>
          <w:szCs w:val="28"/>
          <w:highlight w:val="none"/>
        </w:rPr>
        <w:t xml:space="preserve">23.1合同未尽事项见</w:t>
      </w:r>
      <w:r>
        <w:rPr>
          <w:rFonts w:eastAsia="方正仿宋_GBK"/>
          <w:b/>
          <w:color w:val="auto"/>
          <w:sz w:val="28"/>
          <w:szCs w:val="28"/>
          <w:highlight w:val="none"/>
        </w:rPr>
        <w:t xml:space="preserve">【政府采购合同专用条款】</w:t>
      </w:r>
      <w:r>
        <w:rPr>
          <w:rFonts w:eastAsia="方正仿宋_GBK"/>
          <w:bCs/>
          <w:color w:val="auto"/>
          <w:sz w:val="28"/>
          <w:szCs w:val="28"/>
          <w:highlight w:val="none"/>
        </w:rPr>
        <w:t xml:space="preserve">。</w:t>
      </w:r>
      <w:r/>
    </w:p>
    <w:p>
      <w:pPr>
        <w:jc w:val="left"/>
        <w:spacing w:line="480" w:lineRule="exact"/>
        <w:rPr>
          <w:rFonts w:eastAsia="方正仿宋_GBK"/>
          <w:color w:val="auto"/>
          <w:sz w:val="28"/>
          <w:szCs w:val="28"/>
          <w:highlight w:val="none"/>
        </w:rPr>
      </w:pPr>
      <w:r>
        <w:rPr>
          <w:rFonts w:eastAsia="方正仿宋_GBK"/>
          <w:bCs/>
          <w:color w:val="auto"/>
          <w:sz w:val="28"/>
          <w:szCs w:val="28"/>
          <w:highlight w:val="none"/>
        </w:rPr>
        <w:t xml:space="preserve">    23.2 合同附件与合同正文具有同等的法律效力。</w:t>
      </w:r>
      <w:r/>
    </w:p>
    <w:p>
      <w:pPr>
        <w:rPr>
          <w:rFonts w:eastAsia="方正仿宋_GBK"/>
          <w:color w:val="auto"/>
          <w:sz w:val="28"/>
          <w:szCs w:val="28"/>
          <w:highlight w:val="none"/>
        </w:rPr>
      </w:pPr>
      <w:r>
        <w:rPr>
          <w:rFonts w:eastAsia="方正仿宋_GBK"/>
          <w:color w:val="auto"/>
          <w:sz w:val="28"/>
          <w:szCs w:val="28"/>
          <w:highlight w:val="none"/>
        </w:rPr>
      </w:r>
      <w:r/>
    </w:p>
    <w:p>
      <w:pPr>
        <w:rPr>
          <w:color w:val="auto"/>
          <w:highlight w:val="none"/>
        </w:rPr>
      </w:pPr>
      <w:r>
        <w:rPr>
          <w:color w:val="auto"/>
          <w:highlight w:val="none"/>
        </w:rPr>
      </w:r>
      <w:r/>
    </w:p>
    <w:p>
      <w:pPr>
        <w:pStyle w:val="1047"/>
        <w:rPr>
          <w:rFonts w:ascii="方正仿宋_GBK" w:hAnsi="方正仿宋_GBK" w:eastAsia="方正仿宋_GBK" w:cs="方正仿宋_GBK"/>
          <w:b w:val="0"/>
          <w:bCs w:val="0"/>
          <w:color w:val="auto"/>
          <w:sz w:val="32"/>
          <w:szCs w:val="32"/>
          <w:highlight w:val="none"/>
          <w:lang w:eastAsia="zh-CN"/>
        </w:rPr>
      </w:pPr>
      <w:r>
        <w:rPr>
          <w:rFonts w:hint="eastAsia" w:ascii="方正仿宋_GBK" w:hAnsi="方正仿宋_GBK" w:eastAsia="方正仿宋_GBK" w:cs="方正仿宋_GBK"/>
          <w:b w:val="0"/>
          <w:bCs w:val="0"/>
          <w:color w:val="auto"/>
          <w:sz w:val="32"/>
          <w:szCs w:val="32"/>
          <w:highlight w:val="none"/>
          <w:lang w:eastAsia="zh-CN"/>
        </w:rPr>
        <w:t xml:space="preserve">第三节 政府采购合同专用条款</w:t>
      </w:r>
      <w:r/>
    </w:p>
    <w:tbl>
      <w:tblPr>
        <w:tblStyle w:val="802"/>
        <w:tblW w:w="986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联合体具体要求</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60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第1.2（7）项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其他术语解释</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履约验收中甲方提出异议或作出说明的期限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自乙方交付之日起60天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第4.6款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约定甲方承担的其他义务和责任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为乙方履行合同提供必要且合理的配合和协助</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约定乙方承担的其他义务和责任</w:t>
            </w:r>
            <w:r/>
          </w:p>
        </w:tc>
        <w:tc>
          <w:tcPr>
            <w:tcW w:w="6516" w:type="dxa"/>
            <w:vAlign w:val="center"/>
            <w:textDirection w:val="lrTb"/>
            <w:noWrap w:val="false"/>
          </w:tcPr>
          <w:p>
            <w:pPr>
              <w:pStyle w:val="808"/>
              <w:ind w:left="0"/>
              <w:jc w:val="left"/>
              <w:spacing w:after="0"/>
              <w:rPr>
                <w:rFonts w:eastAsia="方正仿宋_GBK"/>
                <w:color w:val="auto"/>
                <w:sz w:val="24"/>
                <w:szCs w:val="24"/>
                <w:highlight w:val="none"/>
              </w:rPr>
            </w:pPr>
            <w:r>
              <w:rPr>
                <w:rFonts w:eastAsia="方正仿宋_GBK"/>
                <w:color w:val="auto"/>
                <w:sz w:val="24"/>
                <w:szCs w:val="24"/>
                <w:highlight w:val="none"/>
              </w:rPr>
              <w:t xml:space="preserve">1.乙方提供的货物必须符合招投标文件要求，且对其所提供货物应当拥有完整物权，并且乙方负有保证第三人不得向甲方主张任何权利（包括知识产权）的义务，否则由此引起的所有责任由乙方单方承担，甲方不承担任何责任。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808"/>
              <w:ind w:left="0"/>
              <w:jc w:val="left"/>
              <w:spacing w:after="0"/>
              <w:rPr>
                <w:rFonts w:eastAsia="方正仿宋_GBK"/>
                <w:color w:val="auto"/>
                <w:sz w:val="24"/>
                <w:szCs w:val="24"/>
                <w:highlight w:val="none"/>
              </w:rPr>
            </w:pPr>
            <w:r>
              <w:rPr>
                <w:rFonts w:eastAsia="方正仿宋_GBK"/>
                <w:color w:val="auto"/>
                <w:sz w:val="24"/>
                <w:szCs w:val="24"/>
                <w:highlight w:val="none"/>
              </w:rPr>
              <w:t xml:space="preserve">2.乙方应根据甲方的要求（包括招标文件和本合同约定的要求），严格按照经甲方的参数规格、图示或工艺说明安装调试货物，并严格执行施工规范、安全操作规程、防火安全规定、环境保护规定和乙方投标响应文件承诺的项目实施方案等。乙方在作业过程中出现的安全事故，由乙方承担全部责任。安装调试</w:t>
            </w:r>
            <w:r>
              <w:rPr>
                <w:rFonts w:eastAsia="方正仿宋_GBK"/>
                <w:color w:val="auto"/>
                <w:sz w:val="24"/>
                <w:szCs w:val="24"/>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08"/>
              <w:ind w:left="0"/>
              <w:jc w:val="left"/>
              <w:spacing w:after="0"/>
              <w:rPr>
                <w:rFonts w:eastAsia="方正仿宋_GBK"/>
                <w:color w:val="auto"/>
                <w:sz w:val="24"/>
                <w:szCs w:val="24"/>
                <w:highlight w:val="none"/>
              </w:rPr>
            </w:pPr>
            <w:r>
              <w:rPr>
                <w:rFonts w:eastAsia="方正仿宋_GBK"/>
                <w:color w:val="auto"/>
                <w:sz w:val="24"/>
                <w:szCs w:val="24"/>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造成本合同项下及甲方物品损毁的，乙方负责恢复原样，如无法复原则按被损坏物品市场价格1倍向甲方进行赔偿。以上情形适用招标文件中设定的违约责任条款的，按相关条款执行。</w:t>
            </w:r>
            <w:r/>
          </w:p>
          <w:p>
            <w:pPr>
              <w:pStyle w:val="808"/>
              <w:ind w:left="0"/>
              <w:jc w:val="left"/>
              <w:spacing w:after="0"/>
              <w:rPr>
                <w:rFonts w:eastAsia="方正仿宋_GBK"/>
                <w:color w:val="auto"/>
                <w:sz w:val="24"/>
                <w:szCs w:val="24"/>
                <w:highlight w:val="none"/>
              </w:rPr>
            </w:pPr>
            <w:r>
              <w:rPr>
                <w:rFonts w:eastAsia="方正仿宋_GBK"/>
                <w:color w:val="auto"/>
                <w:sz w:val="24"/>
                <w:szCs w:val="24"/>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08"/>
              <w:ind w:left="0"/>
              <w:jc w:val="left"/>
              <w:spacing w:after="0"/>
              <w:rPr>
                <w:rFonts w:eastAsia="方正仿宋_GBK"/>
                <w:b/>
                <w:bCs/>
                <w:color w:val="auto"/>
                <w:sz w:val="24"/>
                <w:szCs w:val="24"/>
                <w:highlight w:val="none"/>
              </w:rPr>
            </w:pPr>
            <w:r>
              <w:rPr>
                <w:rFonts w:eastAsia="方正仿宋_GBK"/>
                <w:b/>
                <w:bCs/>
                <w:color w:val="auto"/>
                <w:sz w:val="24"/>
                <w:szCs w:val="24"/>
                <w:highlight w:val="none"/>
              </w:rPr>
              <w:t xml:space="preserve">以上条款中乙方的责任承担期限不受甲方已收货且出具验收确认书的限制。</w:t>
            </w:r>
            <w:r/>
          </w:p>
          <w:p>
            <w:pPr>
              <w:jc w:val="left"/>
              <w:rPr>
                <w:rFonts w:eastAsia="方正仿宋_GBK"/>
                <w:color w:val="auto"/>
                <w:sz w:val="24"/>
                <w:szCs w:val="24"/>
                <w:highlight w:val="none"/>
              </w:rPr>
            </w:pPr>
            <w:r>
              <w:rPr>
                <w:rFonts w:eastAsia="方正仿宋_GBK"/>
                <w:color w:val="auto"/>
                <w:sz w:val="24"/>
                <w:szCs w:val="24"/>
                <w:highlight w:val="none"/>
              </w:rPr>
              <w:t xml:space="preserve">5.乙方指定【姓名：     （电话：        ）】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rPr>
                <w:rFonts w:eastAsia="方正仿宋_GBK"/>
                <w:color w:val="auto"/>
                <w:sz w:val="24"/>
                <w:szCs w:val="24"/>
                <w:highlight w:val="none"/>
              </w:rPr>
            </w:pPr>
            <w:r>
              <w:rPr>
                <w:rFonts w:eastAsia="方正仿宋_GBK"/>
                <w:color w:val="auto"/>
                <w:sz w:val="24"/>
                <w:szCs w:val="24"/>
                <w:highlight w:val="none"/>
              </w:rPr>
              <w:t xml:space="preserve">6.乙方应按招投标文件列明的项目实施方案、优化方案及甲方确认的样品进行供货、安装调试等，以确保项目按本合同约定如期完成。甲方向乙方免费提供适当的物品堆放场地，但物品保管由乙方自行负责。</w:t>
            </w:r>
            <w:r/>
          </w:p>
          <w:p>
            <w:pPr>
              <w:jc w:val="left"/>
              <w:rPr>
                <w:rFonts w:eastAsia="方正仿宋_GBK"/>
                <w:color w:val="auto"/>
                <w:sz w:val="24"/>
                <w:szCs w:val="24"/>
                <w:highlight w:val="none"/>
              </w:rPr>
            </w:pPr>
            <w:r>
              <w:rPr>
                <w:rFonts w:eastAsia="方正仿宋_GBK"/>
                <w:color w:val="auto"/>
                <w:sz w:val="24"/>
                <w:szCs w:val="24"/>
                <w:highlight w:val="none"/>
              </w:rPr>
              <w:t xml:space="preserve">7.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rPr>
                <w:rFonts w:eastAsia="方正仿宋_GBK"/>
                <w:color w:val="auto"/>
                <w:sz w:val="24"/>
                <w:szCs w:val="24"/>
                <w:highlight w:val="none"/>
              </w:rPr>
            </w:pPr>
            <w:r>
              <w:rPr>
                <w:rFonts w:eastAsia="方正仿宋_GBK"/>
                <w:color w:val="auto"/>
                <w:sz w:val="24"/>
                <w:szCs w:val="24"/>
                <w:highlight w:val="none"/>
              </w:rPr>
              <w:t xml:space="preserve">8.乙方应按招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第6.1款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履行合同义务的顺序</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乙方履行合同义务在先，甲方履行合同义务在后。</w:t>
            </w:r>
            <w:r/>
          </w:p>
        </w:tc>
      </w:tr>
      <w:tr>
        <w:trPr>
          <w:cantSplit/>
          <w:trHeight w:val="667"/>
        </w:trPr>
        <w:tc>
          <w:tcPr>
            <w:tcW w:w="1607"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包装特殊要求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cantSplit/>
          <w:trHeight w:val="667"/>
        </w:trPr>
        <w:tc>
          <w:tcPr>
            <w:tcW w:w="1607"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指定现场</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南通职业大学钟秀校区（甲方书面）指定地点</w:t>
            </w:r>
            <w:r/>
          </w:p>
        </w:tc>
      </w:tr>
      <w:tr>
        <w:trPr>
          <w:trHeight w:val="772"/>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运输特殊要求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r>
      <w:tr>
        <w:trPr>
          <w:trHeight w:val="66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第7.3款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保险要求</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第8.2（1）项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质量保证期</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自项目验收合格之日起，</w:t>
            </w:r>
            <w:r>
              <w:rPr>
                <w:rFonts w:eastAsia="方正仿宋_GBK"/>
                <w:color w:val="auto"/>
                <w:sz w:val="24"/>
                <w:szCs w:val="24"/>
                <w:highlight w:val="none"/>
                <w:u w:val="single"/>
              </w:rPr>
              <w:t xml:space="preserve">  </w:t>
            </w:r>
            <w:r>
              <w:rPr>
                <w:rFonts w:eastAsia="方正仿宋_GBK"/>
                <w:color w:val="auto"/>
                <w:sz w:val="24"/>
                <w:szCs w:val="24"/>
                <w:highlight w:val="none"/>
              </w:rPr>
              <w:t xml:space="preserve">个月（招标要求不少于</w:t>
            </w:r>
            <w:r>
              <w:rPr>
                <w:rFonts w:hint="eastAsia" w:eastAsia="方正仿宋_GBK"/>
                <w:color w:val="auto"/>
                <w:sz w:val="24"/>
                <w:szCs w:val="24"/>
                <w:highlight w:val="none"/>
              </w:rPr>
              <w:t xml:space="preserve">5</w:t>
            </w:r>
            <w:r>
              <w:rPr>
                <w:rFonts w:eastAsia="方正仿宋_GBK"/>
                <w:color w:val="auto"/>
                <w:sz w:val="24"/>
                <w:szCs w:val="24"/>
                <w:highlight w:val="none"/>
              </w:rPr>
              <w:t xml:space="preserve">年）</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第8.2（3）项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货物质量缺陷</w:t>
            </w:r>
            <w:r/>
          </w:p>
          <w:p>
            <w:pPr>
              <w:jc w:val="left"/>
              <w:rPr>
                <w:rFonts w:eastAsia="方正仿宋_GBK"/>
                <w:color w:val="auto"/>
                <w:sz w:val="24"/>
                <w:szCs w:val="24"/>
                <w:highlight w:val="none"/>
              </w:rPr>
            </w:pPr>
            <w:r>
              <w:rPr>
                <w:rFonts w:eastAsia="方正仿宋_GBK"/>
                <w:color w:val="auto"/>
                <w:sz w:val="24"/>
                <w:szCs w:val="24"/>
                <w:highlight w:val="none"/>
              </w:rPr>
              <w:t xml:space="preserve">响应时间</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1.对达不到质量要求的，中标供应商须包退、包换，所发生的费用及损失全部由中标供应商自行承担。</w:t>
            </w:r>
            <w:r/>
          </w:p>
          <w:p>
            <w:pPr>
              <w:rPr>
                <w:rFonts w:eastAsia="方正仿宋_GBK"/>
                <w:color w:val="auto"/>
                <w:sz w:val="24"/>
                <w:szCs w:val="24"/>
                <w:highlight w:val="none"/>
              </w:rPr>
            </w:pPr>
            <w:r>
              <w:rPr>
                <w:rFonts w:eastAsia="方正仿宋_GBK"/>
                <w:color w:val="auto"/>
                <w:sz w:val="24"/>
                <w:szCs w:val="24"/>
                <w:highlight w:val="none"/>
              </w:rPr>
              <w:t xml:space="preserve">2.质保期内，中标供应商须配备充足的主辅料，对非人为原因造成的质量问题，进行无偿质量维修和预防性维护。</w:t>
            </w:r>
            <w:r/>
          </w:p>
          <w:p>
            <w:pPr>
              <w:rPr>
                <w:rFonts w:eastAsia="方正仿宋_GBK"/>
                <w:color w:val="auto"/>
                <w:sz w:val="24"/>
                <w:szCs w:val="24"/>
                <w:highlight w:val="none"/>
              </w:rPr>
            </w:pPr>
            <w:r>
              <w:rPr>
                <w:rFonts w:eastAsia="方正仿宋_GBK"/>
                <w:color w:val="auto"/>
                <w:sz w:val="24"/>
                <w:szCs w:val="24"/>
                <w:highlight w:val="none"/>
              </w:rPr>
              <w:t xml:space="preserve">3.质保期内，中标供应商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中标供应商承担。</w:t>
            </w:r>
            <w:r/>
          </w:p>
          <w:p>
            <w:pPr>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p>
            <w:pPr>
              <w:jc w:val="left"/>
              <w:rPr>
                <w:rFonts w:eastAsia="方正仿宋_GBK"/>
                <w:color w:val="auto"/>
                <w:sz w:val="24"/>
                <w:szCs w:val="24"/>
                <w:highlight w:val="none"/>
              </w:rPr>
            </w:pPr>
            <w:r>
              <w:rPr>
                <w:rFonts w:eastAsia="方正仿宋_GBK"/>
                <w:color w:val="auto"/>
                <w:sz w:val="24"/>
                <w:szCs w:val="24"/>
                <w:highlight w:val="none"/>
              </w:rPr>
              <w:t xml:space="preserve">5.重大问题或其他无法迅速解决的问题，应在一周内解决或提出明确解决方案，否则乙方应赔偿甲方相应损失。</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pStyle w:val="1156"/>
              <w:ind w:firstLine="0"/>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 xml:space="preserve">第11.1款</w:t>
            </w:r>
            <w:r/>
          </w:p>
        </w:tc>
        <w:tc>
          <w:tcPr>
            <w:tcW w:w="174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其他应当保密的信息</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没有甲方事先书面同意，乙方不得将由甲方提供的有关合同或任何合同条文、规格、计划、图纸、经甲方确认后的供货样品等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第12.2款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合同价款支付时间</w:t>
            </w:r>
            <w:r/>
          </w:p>
        </w:tc>
        <w:tc>
          <w:tcPr>
            <w:tcW w:w="6516" w:type="dxa"/>
            <w:vAlign w:val="center"/>
            <w:textDirection w:val="lrTb"/>
            <w:noWrap w:val="false"/>
          </w:tcPr>
          <w:p>
            <w:pPr>
              <w:jc w:val="left"/>
              <w:shd w:val="clear" w:color="auto"/>
              <w:rPr>
                <w:rFonts w:eastAsia="方正仿宋_GBK"/>
                <w:b/>
                <w:bCs/>
                <w:color w:val="auto"/>
                <w:sz w:val="24"/>
                <w:szCs w:val="24"/>
                <w:highlight w:val="none"/>
                <w:u w:val="single"/>
              </w:rPr>
            </w:pPr>
            <w:r>
              <w:rPr>
                <w:rFonts w:eastAsia="方正仿宋_GBK"/>
                <w:color w:val="auto"/>
                <w:sz w:val="24"/>
                <w:szCs w:val="24"/>
                <w:highlight w:val="none"/>
                <w:u w:val="single"/>
              </w:rPr>
              <w:t xml:space="preserve">合同签订生效后10个工作日内，甲方支付乙方合同总价款30%的预付货款（</w:t>
            </w:r>
            <w:r>
              <w:rPr>
                <w:rFonts w:eastAsia="方正仿宋_GBK"/>
                <w:color w:val="auto"/>
                <w:sz w:val="28"/>
                <w:szCs w:val="28"/>
                <w:highlight w:val="none"/>
                <w:u w:val="single"/>
              </w:rPr>
              <w:t xml:space="preserve">乙方需先行提供同等金额的预付款保函，预付款保函</w:t>
            </w:r>
            <w:r>
              <w:rPr>
                <w:rFonts w:hint="eastAsia" w:ascii="宋体" w:hAnsi="宋体" w:cs="宋体"/>
                <w:color w:val="auto"/>
                <w:sz w:val="28"/>
                <w:szCs w:val="28"/>
                <w:highlight w:val="none"/>
                <w:u w:val="single"/>
              </w:rPr>
              <w:t xml:space="preserve">须由乙方基本账户开户银行或非银行金融机构出具</w:t>
            </w:r>
            <w:r>
              <w:rPr>
                <w:rFonts w:eastAsia="方正仿宋_GBK"/>
                <w:b/>
                <w:bCs/>
                <w:color w:val="auto"/>
                <w:sz w:val="24"/>
                <w:szCs w:val="24"/>
                <w:highlight w:val="none"/>
                <w:u w:val="single"/>
              </w:rPr>
              <w:t xml:space="preserve">）。</w:t>
            </w:r>
            <w:r/>
          </w:p>
          <w:p>
            <w:pPr>
              <w:jc w:val="left"/>
              <w:shd w:val="clear" w:color="auto"/>
              <w:rPr>
                <w:rFonts w:eastAsia="方正仿宋_GBK"/>
                <w:color w:val="auto"/>
                <w:sz w:val="24"/>
                <w:szCs w:val="24"/>
                <w:highlight w:val="none"/>
              </w:rPr>
            </w:pPr>
            <w:r>
              <w:rPr>
                <w:rFonts w:eastAsia="方正仿宋_GBK"/>
                <w:color w:val="auto"/>
                <w:sz w:val="24"/>
                <w:szCs w:val="24"/>
                <w:highlight w:val="none"/>
                <w:u w:val="single"/>
              </w:rPr>
              <w:t xml:space="preserve">本项目采用分批供货</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安装</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验收的方式</w:t>
            </w:r>
            <w:r>
              <w:rPr>
                <w:rFonts w:hint="eastAsia" w:eastAsia="方正仿宋_GBK"/>
                <w:color w:val="auto"/>
                <w:sz w:val="24"/>
                <w:szCs w:val="24"/>
                <w:highlight w:val="none"/>
                <w:u w:val="single"/>
              </w:rPr>
              <w:t xml:space="preserve">，终期验收</w:t>
            </w:r>
            <w:r>
              <w:rPr>
                <w:rFonts w:eastAsia="方正仿宋_GBK"/>
                <w:color w:val="auto"/>
                <w:sz w:val="24"/>
                <w:szCs w:val="24"/>
                <w:highlight w:val="none"/>
                <w:u w:val="single"/>
              </w:rPr>
              <w:t xml:space="preserve">后即支付合同总价货款的70%。采购人</w:t>
            </w:r>
            <w:r>
              <w:rPr>
                <w:rFonts w:hint="eastAsia" w:eastAsia="方正仿宋_GBK"/>
                <w:color w:val="auto"/>
                <w:sz w:val="24"/>
                <w:szCs w:val="24"/>
                <w:highlight w:val="none"/>
                <w:u w:val="single"/>
              </w:rPr>
              <w:t xml:space="preserve">组织</w:t>
            </w:r>
            <w:r>
              <w:rPr>
                <w:rFonts w:eastAsia="方正仿宋_GBK"/>
                <w:color w:val="auto"/>
                <w:sz w:val="24"/>
                <w:szCs w:val="24"/>
                <w:highlight w:val="none"/>
                <w:u w:val="single"/>
              </w:rPr>
              <w:t xml:space="preserve">验收（验收方式详见招标文件），凭验收报告和中标供应商开具</w:t>
            </w:r>
            <w:r>
              <w:rPr>
                <w:rFonts w:hint="eastAsia" w:eastAsia="方正仿宋_GBK"/>
                <w:color w:val="auto"/>
                <w:sz w:val="24"/>
                <w:szCs w:val="24"/>
                <w:highlight w:val="none"/>
                <w:u w:val="single"/>
              </w:rPr>
              <w:t xml:space="preserve">的增值税专用</w:t>
            </w:r>
            <w:r>
              <w:rPr>
                <w:rFonts w:eastAsia="方正仿宋_GBK"/>
                <w:color w:val="auto"/>
                <w:sz w:val="24"/>
                <w:szCs w:val="24"/>
                <w:highlight w:val="none"/>
                <w:u w:val="single"/>
              </w:rPr>
              <w:t xml:space="preserve">发票，在30个工作日内付清货款</w:t>
            </w:r>
            <w:r>
              <w:rPr>
                <w:rFonts w:hint="eastAsia" w:eastAsia="方正仿宋_GBK"/>
                <w:color w:val="auto"/>
                <w:sz w:val="24"/>
                <w:szCs w:val="24"/>
                <w:highlight w:val="none"/>
                <w:u w:val="single"/>
              </w:rPr>
              <w:t xml:space="preserve">，并</w:t>
            </w:r>
            <w:r>
              <w:rPr>
                <w:rFonts w:eastAsia="方正仿宋_GBK"/>
                <w:color w:val="auto"/>
                <w:sz w:val="24"/>
                <w:szCs w:val="24"/>
                <w:highlight w:val="none"/>
                <w:u w:val="single"/>
              </w:rPr>
              <w:t xml:space="preserve">退还中标供应商</w:t>
            </w:r>
            <w:r>
              <w:rPr>
                <w:rFonts w:hint="eastAsia" w:eastAsia="方正仿宋_GBK"/>
                <w:color w:val="auto"/>
                <w:sz w:val="24"/>
                <w:szCs w:val="24"/>
                <w:highlight w:val="none"/>
                <w:u w:val="single"/>
              </w:rPr>
              <w:t xml:space="preserve">的</w:t>
            </w:r>
            <w:r>
              <w:rPr>
                <w:rFonts w:eastAsia="方正仿宋_GBK"/>
                <w:color w:val="auto"/>
                <w:sz w:val="24"/>
                <w:szCs w:val="24"/>
                <w:highlight w:val="none"/>
                <w:u w:val="single"/>
              </w:rPr>
              <w:t xml:space="preserve">预付货款保函。</w:t>
            </w:r>
            <w:r/>
          </w:p>
        </w:tc>
      </w:tr>
      <w:tr>
        <w:trPr>
          <w:trHeight w:val="697"/>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履约保证金不予退还的情形</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签订合同后中标供应商不履约的，采购人将全额扣除履约保证金，同时适用相关违约责任条款，采购人亦有权终止合同，中标供应商须承担相应的法律赔偿责任。</w:t>
            </w:r>
            <w:r/>
          </w:p>
        </w:tc>
      </w:tr>
      <w:tr>
        <w:trPr>
          <w:trHeight w:val="93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第13.3款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履约保证金退还时间及逾期退还的违约金</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中标供应商无产品质量、安装进度等问题的，</w:t>
            </w:r>
            <w:r>
              <w:rPr>
                <w:rFonts w:eastAsia="方正仿宋_GBK"/>
                <w:bCs/>
                <w:color w:val="auto"/>
                <w:sz w:val="24"/>
                <w:szCs w:val="24"/>
                <w:highlight w:val="none"/>
              </w:rPr>
              <w:t xml:space="preserve">采购人在验收合格后30日内全额退还履约保证金（无息）。</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第14.1（3）项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运行监督、维修期限</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按招标文件的要求和乙方投标响应执行，具体如下：</w:t>
            </w:r>
            <w:r/>
          </w:p>
          <w:p>
            <w:pPr>
              <w:jc w:val="left"/>
              <w:rPr>
                <w:rFonts w:eastAsia="方正仿宋_GBK"/>
                <w:color w:val="auto"/>
                <w:sz w:val="24"/>
                <w:szCs w:val="24"/>
                <w:highlight w:val="none"/>
              </w:rPr>
            </w:pPr>
            <w:r>
              <w:rPr>
                <w:rFonts w:eastAsia="方正仿宋_GBK"/>
                <w:color w:val="auto"/>
                <w:sz w:val="24"/>
                <w:szCs w:val="24"/>
                <w:highlight w:val="none"/>
              </w:rPr>
              <w:t xml:space="preserve">【     】</w:t>
            </w:r>
            <w:r/>
          </w:p>
        </w:tc>
      </w:tr>
      <w:tr>
        <w:trPr>
          <w:trHeight w:val="784"/>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第14.1（5）项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货物回收的约定</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按相关法律法规执行。</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第14.1（6）项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乙方提供的其他服务</w:t>
            </w:r>
            <w:r/>
          </w:p>
        </w:tc>
        <w:tc>
          <w:tcPr>
            <w:tcW w:w="6516" w:type="dxa"/>
            <w:vAlign w:val="center"/>
            <w:textDirection w:val="lrTb"/>
            <w:noWrap w:val="false"/>
          </w:tcPr>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1.乙方对本合同约定货物提供</w:t>
            </w:r>
            <w:r>
              <w:rPr>
                <w:rFonts w:hint="eastAsia" w:eastAsia="方正仿宋_GBK"/>
                <w:color w:val="auto"/>
                <w:sz w:val="24"/>
                <w:szCs w:val="24"/>
                <w:highlight w:val="none"/>
              </w:rPr>
              <w:t xml:space="preserve">至少5</w:t>
            </w:r>
            <w:r>
              <w:rPr>
                <w:rFonts w:eastAsia="方正仿宋_GBK"/>
                <w:color w:val="auto"/>
                <w:sz w:val="24"/>
                <w:szCs w:val="24"/>
                <w:highlight w:val="none"/>
              </w:rPr>
              <w:t xml:space="preserve">年维保服务，提供备品备件，以保证质保到期后及时维修和更换，乙方必按成本价供应备品备件，且不再另外收取人工费。</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2.乙方能提供及时、有效的售后服务。乙方须终身提供免费的应用咨询及技术帮助。如家具出现问题，乙方须在2小时内响应，提供电话指导、远程诊断、故障排除等服务，并保证能在12小时内上门维修。乙方提供针对本项目的售后服务方案，配备相应的售后服务人员，确保项目要求的各项售后服务的实现。</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3.本合同约定的货物质保期内发生的非人为原因造成的质量问题由乙方负责免费处理。</w:t>
            </w:r>
            <w:r/>
          </w:p>
          <w:p>
            <w:pPr>
              <w:jc w:val="left"/>
              <w:spacing w:line="378" w:lineRule="exact"/>
              <w:rPr>
                <w:rFonts w:eastAsia="方正仿宋_GBK"/>
                <w:color w:val="auto"/>
                <w:sz w:val="24"/>
                <w:szCs w:val="24"/>
                <w:highlight w:val="none"/>
              </w:rPr>
            </w:pPr>
            <w:r>
              <w:rPr>
                <w:rFonts w:eastAsia="方正仿宋_GBK"/>
                <w:color w:val="auto"/>
                <w:sz w:val="24"/>
                <w:szCs w:val="24"/>
                <w:highlight w:val="none"/>
              </w:rPr>
              <w:t xml:space="preserve">4.质保期外，中标供应商接到采购方关于产品问题的通知后，24小时内到达现场进行处理，维修费用按照成本费收取。</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修理、重作、更换相关具体规定</w:t>
            </w:r>
            <w:r/>
          </w:p>
        </w:tc>
        <w:tc>
          <w:tcPr>
            <w:tcW w:w="6516"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1.乙方未严格按照规格尺寸参数和工艺要求加工产品或产品质量达不到相关参数要求的，应按合同总价款的5%向甲方承担违约责任并在规定期限内完成整改，否则按合同总价款20%的标准继续承担违约责任。</w:t>
            </w:r>
            <w:r/>
          </w:p>
          <w:p>
            <w:pPr>
              <w:rPr>
                <w:rFonts w:eastAsia="方正仿宋_GBK"/>
                <w:color w:val="auto"/>
                <w:sz w:val="24"/>
                <w:szCs w:val="24"/>
                <w:highlight w:val="none"/>
              </w:rPr>
            </w:pPr>
            <w:r>
              <w:rPr>
                <w:rFonts w:eastAsia="方正仿宋_GBK"/>
                <w:color w:val="auto"/>
                <w:sz w:val="24"/>
                <w:szCs w:val="24"/>
                <w:highlight w:val="none"/>
              </w:rPr>
              <w:t xml:space="preserve">2.乙方提供的产品在质保期内因产品质量问题发生安全事故的，乙方须免费替换相关产品，向甲方赔偿相关损失，并以50000元/起的标准向甲方承担违约责任。</w:t>
            </w:r>
            <w:r/>
          </w:p>
          <w:p>
            <w:pPr>
              <w:rPr>
                <w:rFonts w:eastAsia="方正仿宋_GBK"/>
                <w:color w:val="auto"/>
                <w:sz w:val="24"/>
                <w:szCs w:val="24"/>
                <w:highlight w:val="none"/>
              </w:rPr>
            </w:pPr>
            <w:r>
              <w:rPr>
                <w:rFonts w:eastAsia="方正仿宋_GBK"/>
                <w:color w:val="auto"/>
                <w:sz w:val="24"/>
                <w:szCs w:val="24"/>
                <w:highlight w:val="none"/>
              </w:rPr>
              <w:t xml:space="preserve">3.乙方低于招标文件参数或技术标准供货的，乙方须恢复为不低于合同规定的参数或技术标准，同时支付给甲方该批次货款20%的违约金（违约金从货款中扣除）。</w:t>
            </w:r>
            <w:r/>
          </w:p>
        </w:tc>
      </w:tr>
      <w:tr>
        <w:trPr>
          <w:trHeight w:val="73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第15.2（2）项</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迟延交货赔偿费</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1.乙方因故不能按期分批供货安装的，按合同总价0.05%/天的标准累计加算违约金直至完成供货安装（违约金从货款中扣除）。甲方原因或不可抗力的因素影响除外。 </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2.乙方生产进度比约定日期延后的，须以10000元/天的标准，付给采购人违约金。甲方原因或不可抗力的因素影响除外。</w:t>
            </w:r>
            <w:r/>
          </w:p>
        </w:tc>
      </w:tr>
      <w:tr>
        <w:trPr>
          <w:trHeight w:val="736"/>
        </w:trPr>
        <w:tc>
          <w:tcPr>
            <w:tcW w:w="1607" w:type="dxa"/>
            <w:vAlign w:val="center"/>
            <w:textDirection w:val="lrTb"/>
            <w:noWrap w:val="false"/>
          </w:tcPr>
          <w:p>
            <w:pPr>
              <w:ind w:firstLine="420"/>
              <w:jc w:val="left"/>
              <w:rPr>
                <w:rFonts w:eastAsia="方正仿宋_GBK"/>
                <w:color w:val="auto"/>
                <w:sz w:val="24"/>
                <w:szCs w:val="24"/>
                <w:highlight w:val="none"/>
              </w:rPr>
            </w:pPr>
            <w:r>
              <w:rPr>
                <w:rFonts w:eastAsia="方正仿宋_GBK"/>
                <w:color w:val="auto"/>
                <w:sz w:val="24"/>
                <w:szCs w:val="24"/>
                <w:highlight w:val="none"/>
              </w:rPr>
              <w:t xml:space="preserve">第二节</w:t>
            </w:r>
            <w:r/>
          </w:p>
          <w:p>
            <w:pPr>
              <w:ind w:firstLine="420"/>
              <w:jc w:val="left"/>
              <w:rPr>
                <w:rFonts w:eastAsia="方正仿宋_GBK"/>
                <w:color w:val="auto"/>
                <w:sz w:val="24"/>
                <w:szCs w:val="24"/>
                <w:highlight w:val="none"/>
              </w:rPr>
            </w:pPr>
            <w:r>
              <w:rPr>
                <w:rFonts w:eastAsia="方正仿宋_GBK"/>
                <w:color w:val="auto"/>
                <w:sz w:val="24"/>
                <w:szCs w:val="24"/>
                <w:highlight w:val="none"/>
              </w:rPr>
              <w:t xml:space="preserve">第15.3 </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迟延支付的违约责任</w:t>
            </w:r>
            <w:r/>
          </w:p>
        </w:tc>
        <w:tc>
          <w:tcPr>
            <w:tcW w:w="6516" w:type="dxa"/>
            <w:vAlign w:val="center"/>
            <w:textDirection w:val="lrTb"/>
            <w:noWrap w:val="false"/>
          </w:tcPr>
          <w:p>
            <w:pPr>
              <w:jc w:val="left"/>
              <w:rPr>
                <w:rFonts w:eastAsia="方正仿宋_GBK"/>
                <w:color w:val="auto"/>
                <w:sz w:val="24"/>
                <w:szCs w:val="24"/>
                <w:highlight w:val="none"/>
                <w:u w:val="single"/>
              </w:rPr>
            </w:pPr>
            <w:r>
              <w:rPr>
                <w:rFonts w:eastAsia="方正仿宋_GBK"/>
                <w:color w:val="auto"/>
                <w:sz w:val="24"/>
                <w:szCs w:val="24"/>
                <w:highlight w:val="none"/>
                <w:u w:val="single"/>
              </w:rPr>
              <w:t xml:space="preserve">无</w:t>
            </w:r>
            <w:r/>
          </w:p>
        </w:tc>
      </w:tr>
      <w:tr>
        <w:trPr>
          <w:trHeight w:val="876"/>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第15.4款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其他违约责任</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（1）乙方未按规定和承诺提供售后服务的，甲方有权没收全部在押履约保证金。</w:t>
            </w:r>
            <w:r/>
          </w:p>
          <w:p>
            <w:pPr>
              <w:jc w:val="left"/>
              <w:rPr>
                <w:rFonts w:eastAsia="方正仿宋_GBK"/>
                <w:color w:val="auto"/>
                <w:sz w:val="24"/>
                <w:szCs w:val="24"/>
                <w:highlight w:val="none"/>
              </w:rPr>
            </w:pPr>
            <w:r>
              <w:rPr>
                <w:rFonts w:eastAsia="方正仿宋_GBK"/>
                <w:color w:val="auto"/>
                <w:sz w:val="24"/>
                <w:szCs w:val="24"/>
                <w:highlight w:val="none"/>
              </w:rPr>
              <w:t xml:space="preserve">（2）乙方无法提供原材料进货合同和发票的，须以10000元/次的标准向甲方承担违约责任，并在5天内补齐相关材料，否则按10000元/次的标准，继续承担违约责任。</w:t>
            </w:r>
            <w:r/>
          </w:p>
          <w:p>
            <w:pPr>
              <w:jc w:val="left"/>
              <w:rPr>
                <w:rFonts w:eastAsia="方正仿宋_GBK"/>
                <w:color w:val="auto"/>
                <w:sz w:val="24"/>
                <w:szCs w:val="24"/>
                <w:highlight w:val="none"/>
              </w:rPr>
            </w:pPr>
            <w:r>
              <w:rPr>
                <w:rFonts w:eastAsia="方正仿宋_GBK"/>
                <w:color w:val="auto"/>
                <w:sz w:val="24"/>
                <w:szCs w:val="24"/>
                <w:highlight w:val="none"/>
              </w:rPr>
              <w:t xml:space="preserve">（3）本项目核心产品未由乙方投标文件</w:t>
            </w:r>
            <w:r>
              <w:rPr>
                <w:rFonts w:hint="eastAsia" w:eastAsia="方正仿宋_GBK"/>
                <w:color w:val="auto"/>
                <w:sz w:val="24"/>
                <w:szCs w:val="24"/>
                <w:highlight w:val="none"/>
              </w:rPr>
              <w:t xml:space="preserve">中</w:t>
            </w:r>
            <w:r>
              <w:rPr>
                <w:rFonts w:eastAsia="方正仿宋_GBK"/>
                <w:color w:val="auto"/>
                <w:sz w:val="24"/>
                <w:szCs w:val="24"/>
                <w:highlight w:val="none"/>
              </w:rPr>
              <w:t xml:space="preserve">指定生产基地生产制造的，乙方应按合同总价款30%/批次的标准向甲方承担违约责任并作出整改，否则按合同总价款30%/批次的标准继续承担违约责任并作出整改，整改仍不到位的，甲方将终止合同，乙方须承担相应的法律赔偿责任。</w:t>
            </w:r>
            <w:r/>
          </w:p>
          <w:p>
            <w:pPr>
              <w:jc w:val="left"/>
              <w:rPr>
                <w:rFonts w:eastAsia="方正仿宋_GBK"/>
                <w:color w:val="auto"/>
                <w:sz w:val="24"/>
                <w:szCs w:val="24"/>
                <w:highlight w:val="none"/>
                <w:u w:val="single"/>
              </w:rPr>
            </w:pPr>
            <w:r>
              <w:rPr>
                <w:rFonts w:eastAsia="方正仿宋_GBK"/>
                <w:color w:val="auto"/>
                <w:sz w:val="24"/>
                <w:szCs w:val="24"/>
                <w:highlight w:val="none"/>
              </w:rPr>
              <w:t xml:space="preserve">（4）乙方未能按照本合同要求提供相应质保服务的，甲方有权将乙方报告本级财政部门，由财政部门依法对供应商进行处理处罚。</w:t>
            </w:r>
            <w:r/>
          </w:p>
        </w:tc>
      </w:tr>
      <w:tr>
        <w:trPr>
          <w:trHeight w:val="9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第19.2款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解决争议的方法</w:t>
            </w:r>
            <w:r/>
          </w:p>
        </w:tc>
        <w:tc>
          <w:tcPr>
            <w:tcW w:w="6516" w:type="dxa"/>
            <w:vAlign w:val="center"/>
            <w:textDirection w:val="lrTb"/>
            <w:noWrap w:val="false"/>
          </w:tcPr>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因本合同及合同有关事项发生的争议，按下列第</w:t>
            </w:r>
            <w:r>
              <w:rPr>
                <w:rFonts w:eastAsia="方正仿宋_GBK"/>
                <w:iCs/>
                <w:color w:val="auto"/>
                <w:sz w:val="24"/>
                <w:szCs w:val="24"/>
                <w:highlight w:val="none"/>
                <w:u w:val="single"/>
              </w:rPr>
              <w:t xml:space="preserve">（2）</w:t>
            </w:r>
            <w:r>
              <w:rPr>
                <w:rFonts w:eastAsia="方正仿宋_GBK"/>
                <w:iCs/>
                <w:color w:val="auto"/>
                <w:sz w:val="24"/>
                <w:szCs w:val="24"/>
                <w:highlight w:val="none"/>
              </w:rPr>
              <w:t xml:space="preserve">种方式解决：</w:t>
            </w:r>
            <w:r/>
          </w:p>
          <w:p>
            <w:pPr>
              <w:jc w:val="left"/>
              <w:spacing w:line="400" w:lineRule="exact"/>
              <w:rPr>
                <w:rFonts w:eastAsia="方正仿宋_GBK"/>
                <w:iCs/>
                <w:color w:val="auto"/>
                <w:sz w:val="24"/>
                <w:szCs w:val="24"/>
                <w:highlight w:val="none"/>
              </w:rPr>
            </w:pPr>
            <w:r>
              <w:rPr>
                <w:rFonts w:eastAsia="方正仿宋_GBK"/>
                <w:iCs/>
                <w:color w:val="auto"/>
                <w:sz w:val="24"/>
                <w:szCs w:val="24"/>
                <w:highlight w:val="none"/>
              </w:rPr>
              <w:t xml:space="preserve">（1）向</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仲裁委员会申请仲裁，仲裁地点为</w:t>
            </w:r>
            <w:r>
              <w:rPr>
                <w:rFonts w:eastAsia="方正仿宋_GBK"/>
                <w:iCs/>
                <w:color w:val="auto"/>
                <w:sz w:val="24"/>
                <w:szCs w:val="24"/>
                <w:highlight w:val="none"/>
                <w:u w:val="single"/>
              </w:rPr>
              <w:t xml:space="preserve">           </w:t>
            </w:r>
            <w:r>
              <w:rPr>
                <w:rFonts w:eastAsia="方正仿宋_GBK"/>
                <w:iCs/>
                <w:color w:val="auto"/>
                <w:sz w:val="24"/>
                <w:szCs w:val="24"/>
                <w:highlight w:val="none"/>
              </w:rPr>
              <w:t xml:space="preserve">；</w:t>
            </w:r>
            <w:r/>
          </w:p>
          <w:p>
            <w:pPr>
              <w:jc w:val="left"/>
              <w:rPr>
                <w:rFonts w:eastAsia="方正仿宋_GBK"/>
                <w:color w:val="auto"/>
                <w:sz w:val="24"/>
                <w:szCs w:val="24"/>
                <w:highlight w:val="none"/>
                <w:u w:val="single"/>
              </w:rPr>
            </w:pPr>
            <w:r>
              <w:rPr>
                <w:rFonts w:eastAsia="方正仿宋_GBK"/>
                <w:iCs/>
                <w:color w:val="auto"/>
                <w:sz w:val="24"/>
                <w:szCs w:val="24"/>
                <w:highlight w:val="none"/>
              </w:rPr>
              <w:t xml:space="preserve">（2）向</w:t>
            </w:r>
            <w:r>
              <w:rPr>
                <w:rFonts w:eastAsia="方正仿宋_GBK"/>
                <w:iCs/>
                <w:color w:val="auto"/>
                <w:sz w:val="24"/>
                <w:szCs w:val="24"/>
                <w:highlight w:val="none"/>
                <w:u w:val="single"/>
              </w:rPr>
              <w:t xml:space="preserve"> 甲方所在地 </w:t>
            </w:r>
            <w:r>
              <w:rPr>
                <w:rFonts w:eastAsia="方正仿宋_GBK"/>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t xml:space="preserve">第二节</w:t>
            </w:r>
            <w:r/>
          </w:p>
          <w:p>
            <w:pPr>
              <w:jc w:val="center"/>
              <w:rPr>
                <w:rFonts w:eastAsia="方正仿宋_GBK"/>
                <w:color w:val="auto"/>
                <w:sz w:val="24"/>
                <w:szCs w:val="24"/>
                <w:highlight w:val="none"/>
              </w:rPr>
            </w:pPr>
            <w:r>
              <w:rPr>
                <w:rFonts w:eastAsia="方正仿宋_GBK"/>
                <w:color w:val="auto"/>
                <w:sz w:val="24"/>
                <w:szCs w:val="24"/>
                <w:highlight w:val="none"/>
              </w:rPr>
              <w:t xml:space="preserve">第23.1款</w:t>
            </w:r>
            <w:r/>
          </w:p>
        </w:tc>
        <w:tc>
          <w:tcPr>
            <w:tcW w:w="1742" w:type="dxa"/>
            <w:vAlign w:val="center"/>
            <w:textDirection w:val="lrTb"/>
            <w:noWrap w:val="false"/>
          </w:tcPr>
          <w:p>
            <w:pPr>
              <w:jc w:val="left"/>
              <w:rPr>
                <w:rFonts w:eastAsia="方正仿宋_GBK"/>
                <w:color w:val="auto"/>
                <w:sz w:val="24"/>
                <w:szCs w:val="24"/>
                <w:highlight w:val="none"/>
              </w:rPr>
            </w:pPr>
            <w:r>
              <w:rPr>
                <w:rFonts w:eastAsia="方正仿宋_GBK"/>
                <w:bCs/>
                <w:color w:val="auto"/>
                <w:sz w:val="24"/>
                <w:szCs w:val="24"/>
                <w:highlight w:val="none"/>
              </w:rPr>
              <w:t xml:space="preserve">其他专用条款</w:t>
            </w:r>
            <w:r/>
          </w:p>
        </w:tc>
        <w:tc>
          <w:tcPr>
            <w:tcW w:w="6516" w:type="dxa"/>
            <w:vAlign w:val="center"/>
            <w:textDirection w:val="lrTb"/>
            <w:noWrap w:val="false"/>
          </w:tcPr>
          <w:p>
            <w:pPr>
              <w:jc w:val="left"/>
              <w:rPr>
                <w:rFonts w:eastAsia="方正仿宋_GBK"/>
                <w:color w:val="auto"/>
                <w:sz w:val="24"/>
                <w:szCs w:val="24"/>
                <w:highlight w:val="none"/>
              </w:rPr>
            </w:pPr>
            <w:r>
              <w:rPr>
                <w:rFonts w:eastAsia="方正仿宋_GBK"/>
                <w:color w:val="auto"/>
                <w:sz w:val="24"/>
                <w:szCs w:val="24"/>
                <w:highlight w:val="none"/>
              </w:rPr>
              <w:t xml:space="preserve">乙方须现场踏勘，应充分考虑校区建设进度等情况对家具安装造成的影响，并配备充足的人力、物力，不得以工程现场交叉施工为由拖延安装时间，甲方为乙方现场安装提供必要的协调。否则乙方须按照本合同第15.2（2）款向甲方支付违约金。</w:t>
            </w:r>
            <w:r/>
          </w:p>
          <w:p>
            <w:pPr>
              <w:jc w:val="left"/>
              <w:rPr>
                <w:rFonts w:eastAsia="方正仿宋_GBK"/>
                <w:color w:val="auto"/>
                <w:sz w:val="24"/>
                <w:szCs w:val="24"/>
                <w:highlight w:val="none"/>
              </w:rPr>
            </w:pPr>
            <w:r>
              <w:rPr>
                <w:rFonts w:eastAsia="方正仿宋_GBK"/>
                <w:color w:val="auto"/>
                <w:sz w:val="24"/>
                <w:szCs w:val="24"/>
                <w:highlight w:val="none"/>
              </w:rPr>
            </w:r>
            <w:r/>
          </w:p>
        </w:tc>
      </w:tr>
    </w:tbl>
    <w:p>
      <w:pPr>
        <w:rPr>
          <w:rFonts w:ascii="方正仿宋_GBK" w:hAnsi="方正仿宋_GBK" w:eastAsia="方正仿宋_GBK" w:cs="方正仿宋_GBK"/>
          <w:color w:val="auto"/>
          <w:szCs w:val="21"/>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ascii="方正仿宋_GBK" w:hAnsi="方正仿宋_GBK" w:eastAsia="方正仿宋_GBK" w:cs="方正仿宋_GBK"/>
          <w:color w:val="auto"/>
          <w:szCs w:val="21"/>
          <w:highlight w:val="none"/>
        </w:rPr>
      </w:r>
      <w:r/>
    </w:p>
    <w:p>
      <w:pPr>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合同附件：投标分项报价表</w:t>
      </w:r>
      <w:r/>
    </w:p>
    <w:tbl>
      <w:tblPr>
        <w:tblStyle w:val="802"/>
        <w:tblW w:w="10235" w:type="dxa"/>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831"/>
        <w:gridCol w:w="1851"/>
        <w:gridCol w:w="788"/>
        <w:gridCol w:w="674"/>
        <w:gridCol w:w="731"/>
        <w:gridCol w:w="1020"/>
        <w:gridCol w:w="860"/>
        <w:gridCol w:w="1473"/>
        <w:gridCol w:w="1376"/>
      </w:tblGrid>
      <w:tr>
        <w:trPr>
          <w:cantSplit/>
          <w:trHeight w:val="1042"/>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2682"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793"/>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tcBorders>
              <w:left w:val="single" w:color="auto" w:sz="4" w:space="0"/>
              <w:bottom w:val="single" w:color="auto" w:sz="4" w:space="0"/>
            </w:tcBorders>
            <w:tcW w:w="1851"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联排课桌（前排） 853人位</w:t>
            </w:r>
            <w:r/>
          </w:p>
        </w:tc>
        <w:tc>
          <w:tcPr>
            <w:tcBorders>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left w:val="single" w:color="auto" w:sz="4" w:space="0"/>
              <w:bottom w:val="single" w:color="auto" w:sz="4" w:space="0"/>
            </w:tcBorders>
            <w:tcW w:w="1851"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联排课桌椅（中排）6601人位</w:t>
            </w:r>
            <w:r/>
          </w:p>
        </w:tc>
        <w:tc>
          <w:tcPr>
            <w:tcBorders>
              <w:top w:val="single" w:color="auto" w:sz="4" w:space="0"/>
              <w:bottom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93"/>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left w:val="single" w:color="auto" w:sz="4" w:space="0"/>
            </w:tcBorders>
            <w:tcW w:w="185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联排椅（后排）   853人位</w:t>
            </w:r>
            <w:r/>
          </w:p>
        </w:tc>
        <w:tc>
          <w:tcPr>
            <w:tcBorders>
              <w:top w:val="single" w:color="auto" w:sz="4" w:space="0"/>
            </w:tcBorders>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3"/>
        </w:trPr>
        <w:tc>
          <w:tcPr>
            <w:tcW w:w="6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2682"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条形课桌（双人桌）</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5"/>
        </w:trPr>
        <w:tc>
          <w:tcPr>
            <w:tcW w:w="631"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831"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185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788"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67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73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02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6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47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37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34"/>
        </w:trPr>
        <w:tc>
          <w:tcPr>
            <w:gridSpan w:val="3"/>
            <w:tcW w:w="3313"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922"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tbl>
      <w:tblPr>
        <w:tblStyle w:val="83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rPr>
            </w:pPr>
            <w:r>
              <w:rPr>
                <w:rFonts w:eastAsia="方正仿宋_GBK"/>
                <w:color w:val="auto"/>
                <w:sz w:val="28"/>
                <w:szCs w:val="28"/>
                <w:highlight w:val="none"/>
              </w:rPr>
            </w:r>
            <w:r/>
          </w:p>
        </w:tc>
      </w:tr>
    </w:tbl>
    <w:tbl>
      <w:tblPr>
        <w:tblStyle w:val="83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rPr>
            </w:pPr>
            <w:r>
              <w:rPr>
                <w:rFonts w:eastAsia="方正仿宋_GBK"/>
                <w:color w:val="auto"/>
                <w:sz w:val="28"/>
                <w:szCs w:val="28"/>
                <w:highlight w:val="none"/>
              </w:rPr>
            </w:r>
            <w:r/>
          </w:p>
        </w:tc>
      </w:tr>
    </w:tbl>
    <w:p>
      <w:pPr>
        <w:jc w:val="center"/>
        <w:pageBreakBefore/>
        <w:spacing w:line="360" w:lineRule="auto"/>
        <w:rPr>
          <w:rFonts w:hint="eastAsia" w:ascii="宋体" w:hAnsi="宋体" w:cs="Courier New"/>
          <w:color w:val="auto"/>
          <w:sz w:val="24"/>
          <w:szCs w:val="24"/>
          <w:highlight w:val="none"/>
        </w:rPr>
      </w:pPr>
      <w:r>
        <w:rPr>
          <w:rFonts w:hint="eastAsia" w:ascii="黑体" w:hAnsi="Courier New" w:eastAsia="黑体" w:cs="Courier New"/>
          <w:bCs/>
          <w:color w:val="auto"/>
          <w:sz w:val="44"/>
          <w:szCs w:val="21"/>
          <w:highlight w:val="none"/>
        </w:rPr>
        <w:t xml:space="preserve">第四章 采购需求</w:t>
      </w:r>
      <w:r/>
    </w:p>
    <w:p>
      <w:pPr>
        <w:spacing w:line="360" w:lineRule="auto"/>
        <w:rPr>
          <w:rFonts w:hint="eastAsia" w:ascii="仿宋" w:hAnsi="仿宋" w:eastAsia="仿宋" w:cs="仿宋"/>
          <w:b/>
          <w:bCs/>
          <w:color w:val="auto"/>
          <w:sz w:val="28"/>
          <w:szCs w:val="28"/>
          <w:highlight w:val="none"/>
        </w:rPr>
      </w:pPr>
      <w:r/>
      <w:bookmarkStart w:id="175" w:name="_Toc26554093"/>
      <w:r/>
      <w:bookmarkStart w:id="176" w:name="_Toc49090575"/>
      <w:r>
        <w:rPr>
          <w:rFonts w:hint="eastAsia" w:ascii="仿宋" w:hAnsi="仿宋" w:eastAsia="仿宋"/>
          <w:b/>
          <w:bCs/>
          <w:color w:val="auto"/>
          <w:sz w:val="28"/>
          <w:szCs w:val="28"/>
          <w:highlight w:val="none"/>
        </w:rPr>
        <w:t xml:space="preserve">项目属性:</w:t>
      </w:r>
      <w:r>
        <w:rPr>
          <w:rFonts w:hint="eastAsia" w:ascii="仿宋" w:hAnsi="仿宋" w:eastAsia="仿宋" w:cs="仿宋"/>
          <w:b/>
          <w:bCs/>
          <w:color w:val="auto"/>
          <w:sz w:val="28"/>
          <w:szCs w:val="28"/>
          <w:highlight w:val="none"/>
        </w:rPr>
        <w:t xml:space="preserve">货物类项目</w:t>
      </w:r>
      <w:bookmarkStart w:id="177" w:name="_Toc120614281"/>
      <w:r/>
      <w:r/>
    </w:p>
    <w:p>
      <w:pPr>
        <w:numPr>
          <w:ilvl w:val="0"/>
          <w:numId w:val="6"/>
        </w:num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采购标的清单</w:t>
      </w:r>
      <w:r/>
    </w:p>
    <w:p>
      <w:pPr>
        <w:pStyle w:val="877"/>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t xml:space="preserve">（一）采购清单</w:t>
      </w:r>
      <w:r/>
    </w:p>
    <w:tbl>
      <w:tblPr>
        <w:tblStyle w:val="802"/>
        <w:tblW w:w="10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813"/>
        <w:gridCol w:w="612"/>
        <w:gridCol w:w="1895"/>
        <w:gridCol w:w="4104"/>
        <w:gridCol w:w="910"/>
        <w:gridCol w:w="590"/>
        <w:gridCol w:w="963"/>
      </w:tblGrid>
      <w:tr>
        <w:trPr>
          <w:cantSplit/>
          <w:jc w:val="center"/>
        </w:trPr>
        <w:tc>
          <w:tcPr>
            <w:tcW w:w="428"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序号</w:t>
            </w:r>
            <w:r/>
          </w:p>
        </w:tc>
        <w:tc>
          <w:tcPr>
            <w:tcW w:w="81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采购标的</w:t>
            </w:r>
            <w:r/>
          </w:p>
        </w:tc>
        <w:tc>
          <w:tcPr>
            <w:gridSpan w:val="2"/>
            <w:tcW w:w="2507"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规格尺寸</w:t>
            </w:r>
            <w:r/>
          </w:p>
        </w:tc>
        <w:tc>
          <w:tcPr>
            <w:tcW w:w="4104"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参考产品图片</w:t>
            </w:r>
            <w:r/>
          </w:p>
        </w:tc>
        <w:tc>
          <w:tcPr>
            <w:tcBorders>
              <w:right w:val="single" w:color="auto" w:sz="4" w:space="0"/>
            </w:tcBorders>
            <w:tcW w:w="910" w:type="dxa"/>
            <w:vAlign w:val="center"/>
            <w:textDirection w:val="lrTb"/>
            <w:noWrap w:val="false"/>
          </w:tcPr>
          <w:p>
            <w:pP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人位</w:t>
            </w:r>
            <w:r/>
          </w:p>
        </w:tc>
        <w:tc>
          <w:tcPr>
            <w:tcBorders>
              <w:left w:val="single" w:color="auto" w:sz="4" w:space="0"/>
            </w:tcBorders>
            <w:tcW w:w="590"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主要标的</w:t>
            </w:r>
            <w:r/>
          </w:p>
        </w:tc>
        <w:tc>
          <w:tcPr>
            <w:tcBorders>
              <w:left w:val="single" w:color="auto" w:sz="4" w:space="0"/>
            </w:tcBorders>
            <w:tcW w:w="963" w:type="dxa"/>
            <w:vAlign w:val="center"/>
            <w:textDirection w:val="lrTb"/>
            <w:noWrap w:val="false"/>
          </w:tcPr>
          <w:p>
            <w:pPr>
              <w:jc w:val="center"/>
              <w:rPr>
                <w:rFonts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对应中小企业划分标准所属行业</w:t>
            </w:r>
            <w:r/>
          </w:p>
        </w:tc>
      </w:tr>
      <w:tr>
        <w:trPr>
          <w:cantSplit/>
          <w:jc w:val="center"/>
          <w:trHeight w:val="772"/>
        </w:trPr>
        <w:tc>
          <w:tcPr>
            <w:tcW w:w="428"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1</w:t>
            </w:r>
            <w:r/>
          </w:p>
        </w:tc>
        <w:tc>
          <w:tcPr>
            <w:tcW w:w="813"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产品1. </w:t>
            </w:r>
            <w:r>
              <w:rPr>
                <w:rFonts w:hint="eastAsia" w:ascii="宋体" w:hAnsi="宋体" w:cs="宋体"/>
                <w:color w:val="auto"/>
                <w:sz w:val="24"/>
                <w:szCs w:val="24"/>
                <w:highlight w:val="none"/>
                <w:lang w:bidi="ar"/>
              </w:rPr>
              <w:t xml:space="preserve">固定联排课桌椅</w:t>
            </w:r>
            <w:r/>
          </w:p>
        </w:tc>
        <w:tc>
          <w:tcPr>
            <w:tcBorders>
              <w:right w:val="single" w:color="auto" w:sz="4" w:space="0"/>
            </w:tcBorders>
            <w:tcW w:w="612" w:type="dxa"/>
            <w:vAlign w:val="center"/>
            <w:vMerge w:val="restart"/>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highlight w:val="none"/>
                <w:lang w:bidi="ar"/>
              </w:rPr>
              <w:t xml:space="preserve">联排</w:t>
            </w:r>
            <w:r>
              <w:rPr>
                <w:rFonts w:hint="eastAsia" w:ascii="宋体" w:hAnsi="宋体" w:cs="宋体"/>
                <w:color w:val="auto"/>
                <w:sz w:val="24"/>
                <w:szCs w:val="24"/>
                <w:highlight w:val="none"/>
                <w:lang w:bidi="ar"/>
              </w:rPr>
              <w:t xml:space="preserve">课桌椅</w:t>
            </w:r>
            <w:r/>
          </w:p>
          <w:p>
            <w:pPr>
              <w:rPr>
                <w:rFonts w:eastAsia="方正仿宋_GBK"/>
                <w:color w:val="auto"/>
                <w:sz w:val="24"/>
                <w:szCs w:val="24"/>
                <w:highlight w:val="none"/>
              </w:rPr>
            </w:pPr>
            <w:r>
              <w:rPr>
                <w:rFonts w:eastAsia="方正仿宋_GBK"/>
                <w:color w:val="auto"/>
                <w:sz w:val="24"/>
                <w:szCs w:val="24"/>
                <w:highlight w:val="none"/>
              </w:rPr>
            </w:r>
            <w:r/>
          </w:p>
        </w:tc>
        <w:tc>
          <w:tcPr>
            <w:tcBorders>
              <w:left w:val="single" w:color="auto" w:sz="4" w:space="0"/>
              <w:bottom w:val="single" w:color="auto" w:sz="4" w:space="0"/>
            </w:tcBorders>
            <w:tcW w:w="1895"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联排课桌（前排） 853人位</w:t>
            </w:r>
            <w:r/>
          </w:p>
        </w:tc>
        <w:tc>
          <w:tcPr>
            <w:tcW w:w="4104" w:type="dxa"/>
            <w:vAlign w:val="center"/>
            <w:vMerge w:val="restart"/>
            <w:textDirection w:val="lrTb"/>
            <w:noWrap w:val="false"/>
          </w:tcPr>
          <w:p>
            <w:pPr>
              <w:jc w:val="center"/>
              <w:rPr>
                <w:color w:val="auto"/>
                <w:sz w:val="24"/>
                <w:szCs w:val="24"/>
                <w:highlight w:val="none"/>
              </w:rPr>
            </w:pPr>
            <w:r>
              <w:rPr>
                <w:color w:val="auto"/>
                <w:sz w:val="24"/>
                <w:szCs w:val="24"/>
                <w:highlight w:val="none"/>
              </w:rPr>
              <mc:AlternateContent>
                <mc:Choice Requires="wpg">
                  <w:drawing>
                    <wp:inline xmlns:wp="http://schemas.openxmlformats.org/drawingml/2006/wordprocessingDrawing" distT="0" distB="0" distL="0" distR="0">
                      <wp:extent cx="2245995" cy="902970"/>
                      <wp:effectExtent l="0" t="0" r="1905" b="1143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16"/>
                              <a:stretch/>
                            </pic:blipFill>
                            <pic:spPr bwMode="auto">
                              <a:xfrm>
                                <a:off x="0" y="0"/>
                                <a:ext cx="2245995" cy="902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8pt;height:71.1pt;mso-wrap-distance-left:0.0pt;mso-wrap-distance-top:0.0pt;mso-wrap-distance-right:0.0pt;mso-wrap-distance-bottom:0.0pt;" stroked="false">
                      <v:path textboxrect="0,0,0,0"/>
                      <v:imagedata r:id="rId16" o:title=""/>
                    </v:shape>
                  </w:pict>
                </mc:Fallback>
              </mc:AlternateContent>
            </w:r>
            <w:r/>
          </w:p>
        </w:tc>
        <w:tc>
          <w:tcPr>
            <w:tcBorders>
              <w:right w:val="single" w:color="auto" w:sz="4" w:space="0"/>
            </w:tcBorders>
            <w:tcW w:w="910" w:type="dxa"/>
            <w:vAlign w:val="center"/>
            <w:vMerge w:val="restart"/>
            <w:textDirection w:val="lrTb"/>
            <w:noWrap w:val="false"/>
          </w:tcPr>
          <w:p>
            <w:pPr>
              <w:jc w:val="center"/>
              <w:rPr>
                <w:color w:val="auto"/>
                <w:sz w:val="24"/>
                <w:szCs w:val="24"/>
                <w:highlight w:val="none"/>
              </w:rPr>
            </w:pPr>
            <w:r>
              <w:rPr>
                <w:rFonts w:hint="eastAsia"/>
                <w:color w:val="auto"/>
                <w:sz w:val="24"/>
                <w:szCs w:val="24"/>
                <w:highlight w:val="none"/>
              </w:rPr>
              <w:t xml:space="preserve">7454</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是</w:t>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75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top w:val="single" w:color="auto" w:sz="4" w:space="0"/>
              <w:left w:val="single" w:color="auto" w:sz="4" w:space="0"/>
              <w:bottom w:val="single" w:color="auto" w:sz="4" w:space="0"/>
            </w:tcBorders>
            <w:tcW w:w="1895"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联排课桌椅（中排）6601人位</w:t>
            </w:r>
            <w:r/>
          </w:p>
        </w:tc>
        <w:tc>
          <w:tcPr>
            <w:tcBorders>
              <w:bottom w:val="single" w:color="auto" w:sz="4" w:space="0"/>
            </w:tcBorders>
            <w:tcW w:w="4104"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90"/>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bottom w:val="single" w:color="auto" w:sz="4" w:space="0"/>
              <w:right w:val="single" w:color="auto" w:sz="4" w:space="0"/>
            </w:tcBorders>
            <w:tcW w:w="612"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Borders>
              <w:top w:val="single" w:color="auto" w:sz="4" w:space="0"/>
              <w:left w:val="single" w:color="auto" w:sz="4" w:space="0"/>
              <w:bottom w:val="single" w:color="auto" w:sz="4" w:space="0"/>
            </w:tcBorders>
            <w:tcW w:w="1895"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联排椅（后排）   853人位</w:t>
            </w:r>
            <w:r/>
          </w:p>
        </w:tc>
        <w:tc>
          <w:tcPr>
            <w:tcBorders>
              <w:bottom w:val="single" w:color="auto" w:sz="4" w:space="0"/>
            </w:tcBorders>
            <w:tcW w:w="4104"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bottom w:val="single" w:color="auto" w:sz="4" w:space="0"/>
              <w:right w:val="single" w:color="auto" w:sz="4" w:space="0"/>
            </w:tcBorders>
            <w:tcW w:w="91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3613"/>
        </w:trPr>
        <w:tc>
          <w:tcPr>
            <w:tcW w:w="42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w:t>
            </w:r>
            <w:r/>
          </w:p>
        </w:tc>
        <w:tc>
          <w:tcPr>
            <w:tcW w:w="813" w:type="dxa"/>
            <w:vAlign w:val="center"/>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产品2.实木凳</w:t>
            </w:r>
            <w:r/>
          </w:p>
        </w:tc>
        <w:tc>
          <w:tcPr>
            <w:gridSpan w:val="2"/>
            <w:tcBorders>
              <w:top w:val="single" w:color="auto" w:sz="4" w:space="0"/>
            </w:tcBorders>
            <w:tcW w:w="250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参考规格尺寸：</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长400mm</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宽280mm</w:t>
            </w:r>
            <w:r/>
          </w:p>
          <w:p>
            <w:pPr>
              <w:rPr>
                <w:rFonts w:hint="eastAsia" w:ascii="宋体" w:hAnsi="宋体" w:cs="宋体"/>
                <w:color w:val="auto"/>
                <w:sz w:val="24"/>
                <w:highlight w:val="none"/>
                <w:lang w:bidi="ar"/>
              </w:rPr>
            </w:pPr>
            <w:r>
              <w:rPr>
                <w:rFonts w:hint="eastAsia" w:ascii="宋体" w:hAnsi="宋体" w:cs="宋体"/>
                <w:color w:val="auto"/>
                <w:sz w:val="24"/>
                <w:szCs w:val="24"/>
                <w:highlight w:val="none"/>
              </w:rPr>
              <w:t xml:space="preserve">高440mm</w:t>
            </w:r>
            <w:r/>
          </w:p>
        </w:tc>
        <w:tc>
          <w:tcPr>
            <w:tcBorders>
              <w:top w:val="single" w:color="auto" w:sz="4" w:space="0"/>
            </w:tcBorders>
            <w:tcW w:w="4104" w:type="dxa"/>
            <w:vAlign w:val="center"/>
            <w:textDirection w:val="lrTb"/>
            <w:noWrap w:val="false"/>
          </w:tcPr>
          <w:p>
            <w:pPr>
              <w:jc w:val="center"/>
              <w:rPr>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1485900" cy="1830070"/>
                      <wp:effectExtent l="0" t="0" r="0" b="17780"/>
                      <wp:docPr id="5"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3"/>
                              <pic:cNvPicPr>
                                <a:picLocks noChangeAspect="1"/>
                              </pic:cNvPicPr>
                              <pic:nvPr/>
                            </pic:nvPicPr>
                            <pic:blipFill>
                              <a:blip r:embed="rId17"/>
                              <a:stretch/>
                            </pic:blipFill>
                            <pic:spPr bwMode="auto">
                              <a:xfrm>
                                <a:off x="0" y="0"/>
                                <a:ext cx="1485900" cy="183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7.0pt;height:144.1pt;mso-wrap-distance-left:0.0pt;mso-wrap-distance-top:0.0pt;mso-wrap-distance-right:0.0pt;mso-wrap-distance-bottom:0.0pt;" stroked="f">
                      <v:path textboxrect="0,0,0,0"/>
                      <v:imagedata r:id="rId17"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2468</w:t>
            </w:r>
            <w:r/>
          </w:p>
        </w:tc>
        <w:tc>
          <w:tcPr>
            <w:tcBorders>
              <w:left w:val="single" w:color="auto" w:sz="4" w:space="0"/>
            </w:tcBorders>
            <w:tcW w:w="590"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工业</w:t>
            </w:r>
            <w:r/>
          </w:p>
        </w:tc>
      </w:tr>
      <w:tr>
        <w:trPr>
          <w:cantSplit/>
          <w:jc w:val="center"/>
          <w:trHeight w:val="1833"/>
        </w:trPr>
        <w:tc>
          <w:tcPr>
            <w:tcW w:w="428" w:type="dxa"/>
            <w:vAlign w:val="center"/>
            <w:vMerge w:val="restart"/>
            <w:textDirection w:val="lrTb"/>
            <w:noWrap w:val="false"/>
          </w:tcPr>
          <w:p>
            <w:pPr>
              <w:jc w:val="center"/>
              <w:rPr>
                <w:color w:val="auto"/>
                <w:sz w:val="24"/>
                <w:szCs w:val="24"/>
                <w:highlight w:val="none"/>
              </w:rPr>
            </w:pPr>
            <w:r>
              <w:rPr>
                <w:rFonts w:hint="eastAsia"/>
                <w:color w:val="auto"/>
                <w:sz w:val="24"/>
                <w:szCs w:val="24"/>
                <w:highlight w:val="none"/>
              </w:rPr>
              <w:t xml:space="preserve">3</w:t>
            </w:r>
            <w:r/>
          </w:p>
        </w:tc>
        <w:tc>
          <w:tcPr>
            <w:tcW w:w="813" w:type="dxa"/>
            <w:vAlign w:val="center"/>
            <w:vMerge w:val="restart"/>
            <w:textDirection w:val="lrTb"/>
            <w:noWrap w:val="false"/>
          </w:tcPr>
          <w:p>
            <w:pPr>
              <w:rPr>
                <w:color w:val="auto"/>
                <w:sz w:val="24"/>
                <w:szCs w:val="24"/>
                <w:highlight w:val="none"/>
              </w:rPr>
            </w:pPr>
            <w:r>
              <w:rPr>
                <w:rFonts w:eastAsia="方正仿宋_GBK"/>
                <w:color w:val="auto"/>
                <w:sz w:val="24"/>
                <w:szCs w:val="24"/>
                <w:highlight w:val="none"/>
              </w:rPr>
              <w:t xml:space="preserve">产品</w:t>
            </w:r>
            <w:r>
              <w:rPr>
                <w:rFonts w:hint="eastAsia" w:eastAsia="方正仿宋_GBK"/>
                <w:color w:val="auto"/>
                <w:sz w:val="24"/>
                <w:szCs w:val="24"/>
                <w:highlight w:val="none"/>
              </w:rPr>
              <w:t xml:space="preserve">3</w:t>
            </w:r>
            <w:r>
              <w:rPr>
                <w:rFonts w:eastAsia="方正仿宋_GBK"/>
                <w:color w:val="auto"/>
                <w:sz w:val="24"/>
                <w:szCs w:val="24"/>
                <w:highlight w:val="none"/>
              </w:rPr>
              <w:t xml:space="preserve">. </w:t>
            </w:r>
            <w:r>
              <w:rPr>
                <w:rFonts w:hint="eastAsia" w:ascii="宋体" w:hAnsi="宋体" w:cs="宋体"/>
                <w:color w:val="auto"/>
                <w:sz w:val="24"/>
                <w:highlight w:val="none"/>
                <w:lang w:bidi="ar"/>
              </w:rPr>
              <w:t xml:space="preserve">录播室活动桌椅</w:t>
            </w:r>
            <w:r/>
          </w:p>
        </w:tc>
        <w:tc>
          <w:tcPr>
            <w:gridSpan w:val="2"/>
            <w:tcBorders>
              <w:bottom w:val="single" w:color="auto" w:sz="4" w:space="0"/>
            </w:tcBorders>
            <w:tcW w:w="250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可组合小组课桌：</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单张外弦长800</w:t>
            </w:r>
            <w:r>
              <w:rPr>
                <w:rFonts w:ascii="宋体" w:hAnsi="宋体" w:cs="宋体"/>
                <w:color w:val="auto"/>
                <w:sz w:val="24"/>
                <w:szCs w:val="24"/>
                <w:highlight w:val="none"/>
              </w:rPr>
              <w:t xml:space="preserve">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宽600</w:t>
            </w:r>
            <w:r>
              <w:rPr>
                <w:rFonts w:ascii="宋体" w:hAnsi="宋体" w:cs="宋体"/>
                <w:color w:val="auto"/>
                <w:sz w:val="24"/>
                <w:szCs w:val="24"/>
                <w:highlight w:val="none"/>
              </w:rPr>
              <w:t xml:space="preserve">mm</w:t>
            </w:r>
            <w:r/>
          </w:p>
          <w:p>
            <w:pPr>
              <w:jc w:val="left"/>
              <w:rPr>
                <w:color w:val="auto"/>
                <w:sz w:val="24"/>
                <w:szCs w:val="24"/>
                <w:highlight w:val="none"/>
              </w:rPr>
            </w:pPr>
            <w:r>
              <w:rPr>
                <w:rFonts w:hint="eastAsia" w:ascii="宋体" w:hAnsi="宋体" w:cs="宋体"/>
                <w:color w:val="auto"/>
                <w:sz w:val="24"/>
                <w:szCs w:val="24"/>
                <w:highlight w:val="none"/>
              </w:rPr>
              <w:t xml:space="preserve">高750</w:t>
            </w:r>
            <w:r>
              <w:rPr>
                <w:rFonts w:ascii="宋体" w:hAnsi="宋体" w:cs="宋体"/>
                <w:color w:val="auto"/>
                <w:sz w:val="24"/>
                <w:szCs w:val="24"/>
                <w:highlight w:val="none"/>
              </w:rPr>
              <w:t xml:space="preserve">mm</w:t>
            </w:r>
            <w:r/>
          </w:p>
        </w:tc>
        <w:tc>
          <w:tcPr>
            <w:tcBorders>
              <w:bottom w:val="single" w:color="auto" w:sz="4" w:space="0"/>
            </w:tcBorders>
            <w:tcW w:w="4104"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233930" cy="1272540"/>
                      <wp:effectExtent l="0" t="0" r="13970" b="381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8"/>
                              <a:stretch/>
                            </pic:blipFill>
                            <pic:spPr bwMode="auto">
                              <a:xfrm>
                                <a:off x="0" y="0"/>
                                <a:ext cx="2233930" cy="127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5.9pt;height:100.2pt;mso-wrap-distance-left:0.0pt;mso-wrap-distance-top:0.0pt;mso-wrap-distance-right:0.0pt;mso-wrap-distance-bottom:0.0pt;" stroked="f">
                      <v:path textboxrect="0,0,0,0"/>
                      <v:imagedata r:id="rId18" o:title=""/>
                    </v:shape>
                  </w:pict>
                </mc:Fallback>
              </mc:AlternateContent>
            </w:r>
            <w:r/>
          </w:p>
        </w:tc>
        <w:tc>
          <w:tcPr>
            <w:tcBorders>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restart"/>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restart"/>
            <w:textDirection w:val="lrTb"/>
            <w:noWrap w:val="false"/>
          </w:tcPr>
          <w:p>
            <w:pPr>
              <w:jc w:val="center"/>
              <w:rPr>
                <w:color w:val="auto"/>
                <w:sz w:val="24"/>
                <w:szCs w:val="24"/>
                <w:highlight w:val="none"/>
              </w:rPr>
            </w:pPr>
            <w:r>
              <w:rPr>
                <w:color w:val="auto"/>
                <w:sz w:val="24"/>
                <w:szCs w:val="24"/>
                <w:highlight w:val="none"/>
              </w:rPr>
              <w:t xml:space="preserve">工业</w:t>
            </w:r>
            <w:r/>
          </w:p>
        </w:tc>
      </w:tr>
      <w:tr>
        <w:trPr>
          <w:cantSplit/>
          <w:jc w:val="center"/>
          <w:trHeight w:val="282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2507" w:type="dxa"/>
            <w:vAlign w:val="center"/>
            <w:textDirection w:val="lrTb"/>
            <w:noWrap w:val="false"/>
          </w:tcPr>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可升降活动椅：</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两脚间距长520mm</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两脚间距宽520mm</w:t>
            </w:r>
            <w:r/>
          </w:p>
          <w:p>
            <w:pPr>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升降高度780-930</w:t>
            </w:r>
            <w:r>
              <w:rPr>
                <w:rFonts w:ascii="宋体" w:hAnsi="宋体" w:cs="宋体"/>
                <w:color w:val="auto"/>
                <w:sz w:val="24"/>
                <w:szCs w:val="24"/>
                <w:highlight w:val="none"/>
                <w:lang w:bidi="ar"/>
              </w:rPr>
              <w:t xml:space="preserve">mm</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椅子颜色中标后再确定</w:t>
            </w:r>
            <w:r/>
          </w:p>
        </w:tc>
        <w:tc>
          <w:tcPr>
            <w:tcBorders>
              <w:top w:val="single" w:color="auto" w:sz="4" w:space="0"/>
              <w:bottom w:val="single" w:color="auto" w:sz="4" w:space="0"/>
            </w:tcBorders>
            <w:tcW w:w="4104"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119505" cy="1452245"/>
                      <wp:effectExtent l="0" t="0" r="4445" b="14604"/>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9"/>
                              <a:stretch/>
                            </pic:blipFill>
                            <pic:spPr bwMode="auto">
                              <a:xfrm>
                                <a:off x="0" y="0"/>
                                <a:ext cx="1119505" cy="1452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8.1pt;height:114.3pt;mso-wrap-distance-left:0.0pt;mso-wrap-distance-top:0.0pt;mso-wrap-distance-right:0.0pt;mso-wrap-distance-bottom:0.0pt;" stroked="f">
                      <v:path textboxrect="0,0,0,0"/>
                      <v:imagedata r:id="rId19"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126</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406"/>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2507" w:type="dxa"/>
            <w:vAlign w:val="center"/>
            <w:textDirection w:val="lrTb"/>
            <w:noWrap w:val="false"/>
          </w:tcPr>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条形课桌（双人桌）：</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宽</w:t>
            </w:r>
            <w:r>
              <w:rPr>
                <w:rFonts w:hint="eastAsia" w:ascii="宋体" w:hAnsi="宋体" w:cs="宋体"/>
                <w:color w:val="auto"/>
                <w:sz w:val="24"/>
                <w:szCs w:val="24"/>
                <w:highlight w:val="none"/>
              </w:rPr>
              <w:t xml:space="preserve">1400</w:t>
            </w:r>
            <w:r>
              <w:rPr>
                <w:rFonts w:ascii="宋体" w:hAnsi="宋体" w:cs="宋体"/>
                <w:color w:val="auto"/>
                <w:sz w:val="24"/>
                <w:szCs w:val="24"/>
                <w:highlight w:val="none"/>
              </w:rPr>
              <w:t xml:space="preserve">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长600</w:t>
            </w:r>
            <w:r>
              <w:rPr>
                <w:rFonts w:ascii="宋体" w:hAnsi="宋体" w:cs="宋体"/>
                <w:color w:val="auto"/>
                <w:sz w:val="24"/>
                <w:szCs w:val="24"/>
                <w:highlight w:val="none"/>
              </w:rPr>
              <w:t xml:space="preserve">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高750</w:t>
            </w:r>
            <w:r>
              <w:rPr>
                <w:rFonts w:ascii="宋体" w:hAnsi="宋体" w:cs="宋体"/>
                <w:color w:val="auto"/>
                <w:sz w:val="24"/>
                <w:szCs w:val="24"/>
                <w:highlight w:val="none"/>
              </w:rPr>
              <w:t xml:space="preserve">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面板颜色中标后再确定</w:t>
            </w:r>
            <w:r/>
          </w:p>
        </w:tc>
        <w:tc>
          <w:tcPr>
            <w:tcBorders>
              <w:top w:val="single" w:color="auto" w:sz="4" w:space="0"/>
              <w:bottom w:val="single" w:color="auto" w:sz="4" w:space="0"/>
            </w:tcBorders>
            <w:tcW w:w="4104"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864485" cy="2208530"/>
                      <wp:effectExtent l="0" t="0" r="12065" b="127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21"/>
                              <a:stretch/>
                            </pic:blipFill>
                            <pic:spPr bwMode="auto">
                              <a:xfrm>
                                <a:off x="0" y="0"/>
                                <a:ext cx="2864485" cy="2208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5.5pt;height:173.9pt;mso-wrap-distance-left:0.0pt;mso-wrap-distance-top:0.0pt;mso-wrap-distance-right:0.0pt;mso-wrap-distance-bottom:0.0pt;" stroked="f">
                      <v:path textboxrect="0,0,0,0"/>
                      <v:imagedata r:id="rId21"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27*2</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1837"/>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bottom w:val="single" w:color="auto" w:sz="4" w:space="0"/>
            </w:tcBorders>
            <w:tcW w:w="2507" w:type="dxa"/>
            <w:vAlign w:val="center"/>
            <w:textDirection w:val="lrTb"/>
            <w:noWrap w:val="false"/>
          </w:tcPr>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活动椅：</w:t>
            </w:r>
            <w:r/>
          </w:p>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座椅宽度460mm</w:t>
            </w:r>
            <w:r/>
          </w:p>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两脚间长530mm</w:t>
            </w:r>
            <w:r/>
          </w:p>
          <w:p>
            <w:pPr>
              <w:jc w:val="left"/>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椅背到地面总高855mm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椅子颜色中标后再确定</w:t>
            </w:r>
            <w:r/>
          </w:p>
        </w:tc>
        <w:tc>
          <w:tcPr>
            <w:tcBorders>
              <w:top w:val="single" w:color="auto" w:sz="4" w:space="0"/>
              <w:bottom w:val="single" w:color="auto" w:sz="4" w:space="0"/>
            </w:tcBorders>
            <w:tcW w:w="4104"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1480185" cy="1697990"/>
                      <wp:effectExtent l="0" t="0" r="5715" b="1651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22"/>
                              <a:stretch/>
                            </pic:blipFill>
                            <pic:spPr bwMode="auto">
                              <a:xfrm>
                                <a:off x="0" y="0"/>
                                <a:ext cx="1480185" cy="169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5pt;height:133.7pt;mso-wrap-distance-left:0.0pt;mso-wrap-distance-top:0.0pt;mso-wrap-distance-right:0.0pt;mso-wrap-distance-bottom:0.0pt;" stroked="f">
                      <v:path textboxrect="0,0,0,0"/>
                      <v:imagedata r:id="rId22"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bottom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54</w:t>
            </w:r>
            <w:r/>
          </w:p>
        </w:tc>
        <w:tc>
          <w:tcPr>
            <w:tcBorders>
              <w:left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293"/>
        </w:trPr>
        <w:tc>
          <w:tcPr>
            <w:tcW w:w="428"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W w:w="813"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Borders>
              <w:top w:val="single" w:color="auto" w:sz="4" w:space="0"/>
            </w:tcBorders>
            <w:tcW w:w="2507"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带</w:t>
            </w:r>
            <w:r>
              <w:rPr>
                <w:rFonts w:hint="eastAsia" w:ascii="宋体" w:hAnsi="宋体" w:cs="宋体"/>
                <w:color w:val="auto"/>
                <w:sz w:val="24"/>
                <w:szCs w:val="24"/>
                <w:highlight w:val="none"/>
              </w:rPr>
              <w:t xml:space="preserve">书写板椅子：</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桌板到椅背长度670mm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桌板到另一边扶手宽度800mm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椅背到地面高度高850</w:t>
            </w:r>
            <w:r>
              <w:rPr>
                <w:rFonts w:ascii="宋体" w:hAnsi="宋体" w:cs="宋体"/>
                <w:color w:val="auto"/>
                <w:sz w:val="24"/>
                <w:szCs w:val="24"/>
                <w:highlight w:val="none"/>
              </w:rPr>
              <w:t xml:space="preserve">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写字板520*335mm</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大面积折叠收纳写字板，板面可360°旋转，能够满足不同的书写姿势与坐姿，配备水杯架</w:t>
            </w:r>
            <w:r/>
          </w:p>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椅子颜色中标后再确定</w:t>
            </w:r>
            <w:r/>
          </w:p>
        </w:tc>
        <w:tc>
          <w:tcPr>
            <w:tcBorders>
              <w:top w:val="single" w:color="auto" w:sz="4" w:space="0"/>
            </w:tcBorders>
            <w:tcW w:w="4104" w:type="dxa"/>
            <w:vAlign w:val="center"/>
            <w:textDirection w:val="lrTb"/>
            <w:noWrap w:val="false"/>
          </w:tcPr>
          <w:p>
            <w:pPr>
              <w:jc w:val="center"/>
              <w:rPr>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2940685" cy="2934335"/>
                      <wp:effectExtent l="0" t="0" r="12065" b="18415"/>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r/>
                            </pic:nvPicPr>
                            <pic:blipFill>
                              <a:blip r:embed="rId23"/>
                              <a:stretch/>
                            </pic:blipFill>
                            <pic:spPr bwMode="auto">
                              <a:xfrm>
                                <a:off x="0" y="0"/>
                                <a:ext cx="2940685" cy="2934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1.5pt;height:231.0pt;mso-wrap-distance-left:0.0pt;mso-wrap-distance-top:0.0pt;mso-wrap-distance-right:0.0pt;mso-wrap-distance-bottom:0.0pt;" stroked="f">
                      <v:path textboxrect="0,0,0,0"/>
                      <v:imagedata r:id="rId23" o:title=""/>
                    </v:shape>
                  </w:pict>
                </mc:Fallback>
              </mc:AlternateContent>
            </w:r>
            <w:r>
              <w:rPr>
                <w:color w:val="auto"/>
                <w:highlight w:val="none"/>
              </w:rPr>
              <mc:AlternateContent>
                <mc:Choice Requires="wpg">
                  <w:drawing>
                    <wp:inline xmlns:wp="http://schemas.openxmlformats.org/drawingml/2006/wordprocessingDrawing" distT="0" distB="0" distL="0" distR="0">
                      <wp:extent cx="678815" cy="862330"/>
                      <wp:effectExtent l="0" t="0" r="6985" b="13970"/>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r/>
                            </pic:nvPicPr>
                            <pic:blipFill>
                              <a:blip r:embed="rId20"/>
                              <a:stretch/>
                            </pic:blipFill>
                            <pic:spPr bwMode="auto">
                              <a:xfrm>
                                <a:off x="0" y="0"/>
                                <a:ext cx="678814" cy="8623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3.4pt;height:67.9pt;mso-wrap-distance-left:0.0pt;mso-wrap-distance-top:0.0pt;mso-wrap-distance-right:0.0pt;mso-wrap-distance-bottom:0.0pt;" stroked="false">
                      <v:path textboxrect="0,0,0,0"/>
                      <v:imagedata r:id="rId20" o:title=""/>
                    </v:shape>
                  </w:pict>
                </mc:Fallback>
              </mc:AlternateContent>
            </w:r>
            <w:r/>
          </w:p>
        </w:tc>
        <w:tc>
          <w:tcPr>
            <w:tcBorders>
              <w:top w:val="single" w:color="auto" w:sz="4" w:space="0"/>
              <w:right w:val="single" w:color="auto" w:sz="4" w:space="0"/>
            </w:tcBorders>
            <w:tcW w:w="91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120</w:t>
            </w:r>
            <w:r/>
          </w:p>
        </w:tc>
        <w:tc>
          <w:tcPr>
            <w:tcBorders>
              <w:left w:val="single" w:color="auto" w:sz="4" w:space="0"/>
              <w:bottom w:val="single" w:color="auto" w:sz="4" w:space="0"/>
            </w:tcBorders>
            <w:tcW w:w="590"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c>
          <w:tcPr>
            <w:tcBorders>
              <w:left w:val="single" w:color="auto" w:sz="4" w:space="0"/>
              <w:bottom w:val="single" w:color="auto" w:sz="4" w:space="0"/>
            </w:tcBorders>
            <w:tcW w:w="963" w:type="dxa"/>
            <w:vAlign w:val="center"/>
            <w:vMerge w:val="continue"/>
            <w:textDirection w:val="lrTb"/>
            <w:noWrap w:val="false"/>
          </w:tcPr>
          <w:p>
            <w:pPr>
              <w:jc w:val="center"/>
              <w:rPr>
                <w:color w:val="auto"/>
                <w:sz w:val="24"/>
                <w:szCs w:val="24"/>
                <w:highlight w:val="none"/>
              </w:rPr>
            </w:pPr>
            <w:r>
              <w:rPr>
                <w:color w:val="auto"/>
                <w:sz w:val="24"/>
                <w:szCs w:val="24"/>
                <w:highlight w:val="none"/>
              </w:rPr>
            </w:r>
            <w:r/>
          </w:p>
        </w:tc>
      </w:tr>
      <w:tr>
        <w:trPr>
          <w:cantSplit/>
          <w:jc w:val="center"/>
          <w:trHeight w:val="896"/>
        </w:trPr>
        <w:tc>
          <w:tcPr>
            <w:gridSpan w:val="8"/>
            <w:tcW w:w="10315" w:type="dxa"/>
            <w:vAlign w:val="center"/>
            <w:textDirection w:val="lrTb"/>
            <w:noWrap w:val="false"/>
          </w:tcPr>
          <w:p>
            <w:pPr>
              <w:jc w:val="center"/>
              <w:rPr>
                <w:rFonts w:eastAsia="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上述图片均为产品参考示意图</w:t>
            </w:r>
            <w:r/>
          </w:p>
        </w:tc>
      </w:tr>
    </w:tbl>
    <w:p>
      <w:p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color w:val="auto"/>
          <w:sz w:val="28"/>
          <w:szCs w:val="28"/>
          <w:highlight w:val="none"/>
        </w:rPr>
        <w:outlineLvl w:val="0"/>
      </w:pPr>
      <w:r>
        <w:rPr>
          <w:rFonts w:hint="eastAsia" w:ascii="仿宋" w:hAnsi="仿宋" w:eastAsia="仿宋" w:cs="仿宋"/>
          <w:b/>
          <w:color w:val="auto"/>
          <w:sz w:val="28"/>
          <w:szCs w:val="28"/>
          <w:highlight w:val="none"/>
        </w:rPr>
        <w:t xml:space="preserve">（</w:t>
      </w: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）地点分布</w:t>
      </w:r>
      <w:r/>
    </w:p>
    <w:p>
      <w:pPr>
        <w:pStyle w:val="805"/>
        <w:jc w:val="center"/>
        <w:rPr>
          <w:color w:val="auto"/>
          <w:sz w:val="28"/>
          <w:szCs w:val="28"/>
          <w:highlight w:val="none"/>
        </w:rPr>
      </w:pPr>
      <w:r>
        <w:rPr>
          <w:rFonts w:hint="eastAsia"/>
          <w:color w:val="auto"/>
          <w:sz w:val="28"/>
          <w:szCs w:val="28"/>
          <w:highlight w:val="none"/>
        </w:rPr>
        <w:t xml:space="preserve">六号教学楼户型及座位数统计表</w:t>
      </w:r>
      <w:r/>
    </w:p>
    <w:tbl>
      <w:tblPr>
        <w:tblStyle w:val="802"/>
        <w:tblW w:w="10576" w:type="dxa"/>
        <w:tblInd w:w="-670" w:type="dxa"/>
        <w:tblLayout w:type="fixed"/>
        <w:tblCellMar>
          <w:left w:w="108" w:type="dxa"/>
          <w:top w:w="0" w:type="dxa"/>
          <w:right w:w="108" w:type="dxa"/>
          <w:bottom w:w="0" w:type="dxa"/>
        </w:tblCellMar>
        <w:tblLook w:val="04A0" w:firstRow="1" w:lastRow="0" w:firstColumn="1" w:lastColumn="0" w:noHBand="0" w:noVBand="1"/>
      </w:tblPr>
      <w:tblGrid>
        <w:gridCol w:w="1425"/>
        <w:gridCol w:w="1669"/>
        <w:gridCol w:w="1180"/>
        <w:gridCol w:w="1462"/>
        <w:gridCol w:w="1804"/>
        <w:gridCol w:w="3036"/>
      </w:tblGrid>
      <w:tr>
        <w:trPr>
          <w:trHeight w:val="641"/>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黑体" w:hAnsi="宋体" w:eastAsia="黑体" w:cs="黑体"/>
                <w:color w:val="auto"/>
                <w:sz w:val="24"/>
                <w:szCs w:val="24"/>
                <w:highlight w:val="none"/>
                <w:lang w:bidi="ar"/>
              </w:rPr>
            </w:pPr>
            <w:r>
              <w:rPr>
                <w:rFonts w:hint="eastAsia" w:ascii="黑体" w:hAnsi="宋体" w:eastAsia="黑体" w:cs="黑体"/>
                <w:color w:val="auto"/>
                <w:sz w:val="24"/>
                <w:szCs w:val="24"/>
                <w:highlight w:val="none"/>
                <w:lang w:bidi="ar"/>
              </w:rPr>
              <w:t xml:space="preserve">户型</w:t>
            </w:r>
            <w:r/>
          </w:p>
          <w:p>
            <w:pPr>
              <w:jc w:val="center"/>
              <w:widowControl/>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bidi="ar"/>
              </w:rPr>
              <w:t xml:space="preserve">教室数</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黑体" w:hAnsi="宋体" w:eastAsia="黑体" w:cs="黑体"/>
                <w:color w:val="auto"/>
                <w:sz w:val="24"/>
                <w:szCs w:val="24"/>
                <w:highlight w:val="none"/>
                <w:lang w:bidi="ar"/>
              </w:rPr>
            </w:pPr>
            <w:r>
              <w:rPr>
                <w:rFonts w:hint="eastAsia" w:ascii="黑体" w:hAnsi="宋体" w:eastAsia="黑体" w:cs="黑体"/>
                <w:color w:val="auto"/>
                <w:sz w:val="24"/>
                <w:szCs w:val="24"/>
                <w:highlight w:val="none"/>
                <w:lang w:bidi="ar"/>
              </w:rPr>
              <w:t xml:space="preserve">户型</w:t>
            </w:r>
            <w:r/>
          </w:p>
          <w:p>
            <w:pPr>
              <w:jc w:val="center"/>
              <w:widowControl/>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bidi="ar"/>
              </w:rPr>
              <w:t xml:space="preserve">人位数</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黑体" w:hAnsi="宋体" w:eastAsia="黑体" w:cs="黑体"/>
                <w:color w:val="auto"/>
                <w:sz w:val="24"/>
                <w:szCs w:val="24"/>
                <w:highlight w:val="none"/>
                <w:lang w:bidi="ar"/>
              </w:rPr>
            </w:pPr>
            <w:r>
              <w:rPr>
                <w:rFonts w:hint="eastAsia" w:ascii="黑体" w:hAnsi="宋体" w:eastAsia="黑体" w:cs="黑体"/>
                <w:color w:val="auto"/>
                <w:sz w:val="24"/>
                <w:szCs w:val="24"/>
                <w:highlight w:val="none"/>
                <w:lang w:bidi="ar"/>
              </w:rPr>
              <w:t xml:space="preserve">户型</w:t>
            </w:r>
            <w:r/>
          </w:p>
          <w:p>
            <w:pPr>
              <w:jc w:val="center"/>
              <w:widowControl/>
              <w:rPr>
                <w:rFonts w:hint="eastAsia" w:ascii="黑体" w:hAnsi="宋体" w:eastAsia="黑体" w:cs="黑体"/>
                <w:color w:val="auto"/>
                <w:sz w:val="24"/>
                <w:szCs w:val="24"/>
                <w:highlight w:val="none"/>
              </w:rPr>
            </w:pPr>
            <w:r>
              <w:rPr>
                <w:rFonts w:hint="eastAsia" w:ascii="黑体" w:hAnsi="宋体" w:eastAsia="黑体" w:cs="黑体"/>
                <w:color w:val="auto"/>
                <w:sz w:val="24"/>
                <w:szCs w:val="24"/>
                <w:highlight w:val="none"/>
                <w:lang w:bidi="ar"/>
              </w:rPr>
              <w:t xml:space="preserve">总人位数</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黑体" w:hAnsi="宋体" w:eastAsia="黑体" w:cs="黑体"/>
                <w:color w:val="auto"/>
                <w:sz w:val="24"/>
                <w:szCs w:val="24"/>
                <w:highlight w:val="none"/>
                <w:lang w:bidi="ar"/>
              </w:rPr>
            </w:pPr>
            <w:r>
              <w:rPr>
                <w:rFonts w:hint="eastAsia" w:ascii="黑体" w:hAnsi="宋体" w:eastAsia="黑体" w:cs="黑体"/>
                <w:color w:val="auto"/>
                <w:sz w:val="24"/>
                <w:szCs w:val="24"/>
                <w:highlight w:val="none"/>
                <w:lang w:bidi="ar"/>
              </w:rPr>
              <w:t xml:space="preserve">排位组合/过道数</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64-68㎡</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52</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988</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69-72㎡</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47</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282</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57</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57</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3-6-3组/2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97-105㎡</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98</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1568</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105-108㎡</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102</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1224</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128-135㎡</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126</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2394</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3-4-3组合/2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141.5㎡</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143</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143</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3-5-3组合/2</w:t>
            </w:r>
            <w:r/>
          </w:p>
        </w:tc>
      </w:tr>
      <w:tr>
        <w:trPr>
          <w:trHeight w:val="405"/>
        </w:trPr>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260.6㎡</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266</w:t>
            </w:r>
            <w:r/>
          </w:p>
        </w:tc>
        <w:tc>
          <w:tcPr>
            <w:tcBorders>
              <w:top w:val="single" w:color="000000" w:sz="4" w:space="0"/>
              <w:left w:val="single" w:color="000000" w:sz="4" w:space="0"/>
              <w:bottom w:val="single" w:color="000000" w:sz="4" w:space="0"/>
              <w:right w:val="single" w:color="auto" w:sz="4" w:space="0"/>
            </w:tcBorders>
            <w:tcW w:w="1800" w:type="dxa"/>
            <w:vAlign w:val="center"/>
            <w:textDirection w:val="lrTb"/>
            <w:noWrap/>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798</w:t>
            </w:r>
            <w:r/>
          </w:p>
        </w:tc>
        <w:tc>
          <w:tcPr>
            <w:tcBorders>
              <w:top w:val="single" w:color="000000" w:sz="4" w:space="0"/>
              <w:left w:val="single" w:color="auto" w:sz="4" w:space="0"/>
              <w:bottom w:val="single" w:color="000000" w:sz="4" w:space="0"/>
              <w:right w:val="single" w:color="000000" w:sz="4" w:space="0"/>
            </w:tcBorders>
            <w:tcW w:w="3038" w:type="dxa"/>
            <w:vAlign w:val="center"/>
            <w:textDirection w:val="lrTb"/>
            <w:noWrap/>
          </w:tcPr>
          <w:p>
            <w:pPr>
              <w:jc w:val="center"/>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t xml:space="preserve">3-4-5-4-3组合/4</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3094" w:type="dxa"/>
            <w:vAlign w:val="center"/>
            <w:textDirection w:val="lrTb"/>
            <w:noWrap/>
          </w:tcPr>
          <w:p>
            <w:pPr>
              <w:jc w:val="center"/>
              <w:rPr>
                <w:rFonts w:hint="eastAsia" w:ascii="宋体" w:hAnsi="宋体" w:cs="宋体"/>
                <w:color w:val="auto"/>
                <w:sz w:val="24"/>
                <w:szCs w:val="24"/>
                <w:highlight w:val="none"/>
              </w:rPr>
            </w:pPr>
            <w:r>
              <w:rPr>
                <w:rFonts w:hint="eastAsia" w:ascii="仿宋" w:hAnsi="仿宋" w:eastAsia="仿宋" w:cs="仿宋"/>
                <w:b/>
                <w:bCs/>
                <w:color w:val="auto"/>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1805" w:type="dxa"/>
            <w:vAlign w:val="center"/>
            <w:textDirection w:val="lrTb"/>
            <w:noWrap/>
          </w:tcPr>
          <w:p>
            <w:pPr>
              <w:ind w:firstLine="482"/>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bidi="ar"/>
              </w:rPr>
              <w:t xml:space="preserve">7454</w:t>
            </w:r>
            <w:r/>
          </w:p>
        </w:tc>
        <w:tc>
          <w:tcPr>
            <w:tcBorders>
              <w:top w:val="single" w:color="000000" w:sz="4" w:space="0"/>
              <w:left w:val="single" w:color="auto" w:sz="4" w:space="0"/>
              <w:bottom w:val="single" w:color="000000" w:sz="4" w:space="0"/>
              <w:right w:val="single" w:color="000000" w:sz="4" w:space="0"/>
            </w:tcBorders>
            <w:tcW w:w="3033" w:type="dxa"/>
            <w:vAlign w:val="center"/>
            <w:textDirection w:val="lrTb"/>
            <w:noWrap/>
          </w:tcPr>
          <w:p>
            <w:pPr>
              <w:ind w:firstLine="482"/>
              <w:jc w:val="center"/>
              <w:widowControl/>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r>
            <w:r/>
          </w:p>
        </w:tc>
      </w:tr>
      <w:tr>
        <w:trPr>
          <w:trHeight w:val="90"/>
        </w:trPr>
        <w:tc>
          <w:tcPr>
            <w:gridSpan w:val="6"/>
            <w:tcBorders>
              <w:top w:val="single" w:color="000000" w:sz="4" w:space="0"/>
              <w:left w:val="single" w:color="000000" w:sz="4" w:space="0"/>
              <w:bottom w:val="single" w:color="000000" w:sz="4" w:space="0"/>
              <w:right w:val="single" w:color="000000" w:sz="4" w:space="0"/>
            </w:tcBorders>
            <w:tcW w:w="10576" w:type="dxa"/>
            <w:vAlign w:val="center"/>
            <w:textDirection w:val="lrTb"/>
            <w:noWrap/>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说明：1、排位组合间的过道宽度建议≥90cm，以便师生顺畅通行。</w:t>
            </w:r>
            <w:r/>
          </w:p>
          <w:p>
            <w:pPr>
              <w:ind w:firstLine="7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2、前排课桌前沿与黑板的水平距离建议≥250cm，确保学生能够清晰看到黑板上的内容。</w:t>
            </w:r>
            <w:r/>
          </w:p>
          <w:p>
            <w:pPr>
              <w:ind w:left="239"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3、最后一排椅子后沿与墙面距离建议≥110cm，不影响后门完全打开，同时要确保在紧急情况下能够迅速疏散。</w:t>
            </w:r>
            <w:r/>
          </w:p>
          <w:p>
            <w:pPr>
              <w:ind w:firstLine="72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4、课桌椅侧边外沿距离教室两侧墙面建议≥10cm,确保窗帘自然拉动的距离。</w:t>
            </w:r>
            <w:r/>
          </w:p>
          <w:p>
            <w:pPr>
              <w:ind w:left="239"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5、在满足人位数、排位组合/过道数的基础上，可根据教室现场的实际情况对上述1-4点中建议数值进行调整。</w:t>
            </w:r>
            <w:r/>
          </w:p>
        </w:tc>
      </w:tr>
    </w:tbl>
    <w:p>
      <w:pPr>
        <w:pStyle w:val="805"/>
        <w:jc w:val="center"/>
        <w:rPr>
          <w:rFonts w:hint="eastAsia"/>
          <w:color w:val="auto"/>
          <w:sz w:val="32"/>
          <w:szCs w:val="44"/>
          <w:highlight w:val="none"/>
        </w:rPr>
      </w:pPr>
      <w:r>
        <w:rPr>
          <w:rFonts w:hint="eastAsia"/>
          <w:color w:val="auto"/>
          <w:sz w:val="32"/>
          <w:szCs w:val="44"/>
          <w:highlight w:val="none"/>
        </w:rPr>
      </w:r>
      <w:r/>
    </w:p>
    <w:p>
      <w:pPr>
        <w:pStyle w:val="805"/>
        <w:jc w:val="center"/>
        <w:rPr>
          <w:color w:val="auto"/>
          <w:sz w:val="32"/>
          <w:szCs w:val="44"/>
          <w:highlight w:val="none"/>
        </w:rPr>
      </w:pPr>
      <w:r>
        <w:rPr>
          <w:rFonts w:hint="eastAsia"/>
          <w:color w:val="auto"/>
          <w:sz w:val="32"/>
          <w:szCs w:val="44"/>
          <w:highlight w:val="none"/>
        </w:rPr>
        <w:t xml:space="preserve">A01、A02教学楼房型及座位数统计表</w:t>
      </w:r>
      <w:r/>
    </w:p>
    <w:tbl>
      <w:tblPr>
        <w:tblStyle w:val="802"/>
        <w:tblW w:w="9713" w:type="dxa"/>
        <w:tblInd w:w="93" w:type="dxa"/>
        <w:tblLayout w:type="fixed"/>
        <w:tblCellMar>
          <w:left w:w="108" w:type="dxa"/>
          <w:top w:w="0" w:type="dxa"/>
          <w:right w:w="108" w:type="dxa"/>
          <w:bottom w:w="0" w:type="dxa"/>
        </w:tblCellMar>
        <w:tblLook w:val="04A0" w:firstRow="1" w:lastRow="0" w:firstColumn="1" w:lastColumn="0" w:noHBand="0" w:noVBand="1"/>
      </w:tblPr>
      <w:tblGrid>
        <w:gridCol w:w="1800"/>
        <w:gridCol w:w="1620"/>
        <w:gridCol w:w="2025"/>
        <w:gridCol w:w="1935"/>
        <w:gridCol w:w="2333"/>
      </w:tblGrid>
      <w:tr>
        <w:trPr>
          <w:trHeight w:val="600"/>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教室面积</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户型教室数</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户型人位数</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黑体" w:hAnsi="宋体" w:eastAsia="黑体" w:cs="黑体"/>
                <w:color w:val="auto"/>
                <w:sz w:val="32"/>
                <w:szCs w:val="32"/>
                <w:highlight w:val="none"/>
              </w:rPr>
            </w:pPr>
            <w:r>
              <w:rPr>
                <w:rFonts w:hint="eastAsia" w:ascii="黑体" w:hAnsi="宋体" w:eastAsia="黑体" w:cs="黑体"/>
                <w:color w:val="auto"/>
                <w:sz w:val="32"/>
                <w:szCs w:val="32"/>
                <w:highlight w:val="none"/>
                <w:lang w:bidi="ar"/>
              </w:rPr>
              <w:t xml:space="preserve">户型总人位数</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户型1</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49-49㎡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736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户型2</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87-89㎡</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450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户型4</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50-52㎡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256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户型5</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91-94㎡</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320</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户型6</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51-53㎡</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555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户型7</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65</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户型8</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16</w:t>
            </w:r>
            <w:r/>
          </w:p>
        </w:tc>
      </w:tr>
      <w:tr>
        <w:trPr>
          <w:trHeight w:val="405"/>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户型9</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50</w:t>
            </w:r>
            <w:r/>
          </w:p>
        </w:tc>
      </w:tr>
      <w:tr>
        <w:trPr>
          <w:trHeight w:val="801"/>
        </w:trPr>
        <w:tc>
          <w:tcPr>
            <w:gridSpan w:val="2"/>
            <w:tcBorders>
              <w:top w:val="single" w:color="000000" w:sz="4" w:space="0"/>
              <w:left w:val="single" w:color="000000" w:sz="4" w:space="0"/>
              <w:bottom w:val="single" w:color="000000" w:sz="4" w:space="0"/>
              <w:right w:val="single" w:color="000000" w:sz="4" w:space="0"/>
            </w:tcBorders>
            <w:tcW w:w="3420" w:type="dxa"/>
            <w:vAlign w:val="center"/>
            <w:textDirection w:val="lrTb"/>
            <w:noWrap/>
          </w:tcPr>
          <w:p>
            <w:pPr>
              <w:jc w:val="right"/>
              <w:rPr>
                <w:rFonts w:hint="eastAsia" w:ascii="宋体" w:hAnsi="宋体" w:cs="宋体"/>
                <w:color w:val="auto"/>
                <w:sz w:val="22"/>
                <w:highlight w:val="none"/>
              </w:rPr>
            </w:pPr>
            <w:r>
              <w:rPr>
                <w:rFonts w:hint="eastAsia" w:ascii="仿宋" w:hAnsi="仿宋" w:eastAsia="仿宋" w:cs="仿宋"/>
                <w:b/>
                <w:bCs/>
                <w:color w:val="auto"/>
                <w:sz w:val="32"/>
                <w:szCs w:val="3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tcPr>
          <w:p>
            <w:pP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jc w:val="center"/>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2468</w:t>
            </w:r>
            <w:r/>
          </w:p>
        </w:tc>
      </w:tr>
    </w:tbl>
    <w:p>
      <w:pPr>
        <w:pStyle w:val="877"/>
        <w:rPr>
          <w:rFonts w:eastAsiaTheme="minorEastAsia"/>
          <w:color w:val="auto"/>
          <w:highlight w:val="none"/>
          <w:lang w:eastAsia="zh-CN"/>
        </w:rPr>
      </w:pPr>
      <w:r>
        <w:rPr>
          <w:rFonts w:eastAsiaTheme="minorEastAsia"/>
          <w:color w:val="auto"/>
          <w:highlight w:val="none"/>
          <w:lang w:eastAsia="zh-CN"/>
        </w:rPr>
      </w:r>
      <w:r/>
    </w:p>
    <w:tbl>
      <w:tblPr>
        <w:tblStyle w:val="831"/>
        <w:tblpPr w:horzAnchor="text" w:tblpX="10934" w:vertAnchor="text" w:tblpY="-24260" w:leftFromText="180" w:topFromText="0" w:rightFromText="180" w:bottomFromText="0"/>
        <w:tblW w:w="1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8"/>
      </w:tblGrid>
      <w:tr>
        <w:trPr>
          <w:trHeight w:val="30"/>
        </w:trPr>
        <w:tc>
          <w:tcPr>
            <w:tcW w:w="1098" w:type="dxa"/>
            <w:textDirection w:val="lrTb"/>
            <w:noWrap w:val="false"/>
          </w:tcPr>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tc>
      </w:tr>
    </w:tbl>
    <w:p>
      <w:pPr>
        <w:spacing w:line="590" w:lineRule="exact"/>
        <w:rPr>
          <w:rFonts w:hint="eastAsia" w:ascii="仿宋" w:hAnsi="仿宋" w:eastAsia="仿宋" w:cs="仿宋"/>
          <w:b/>
          <w:bCs/>
          <w:color w:val="auto"/>
          <w:sz w:val="28"/>
          <w:szCs w:val="28"/>
          <w:highlight w:val="none"/>
        </w:rPr>
        <w:outlineLvl w:val="0"/>
      </w:pPr>
      <w:r>
        <w:rPr>
          <w:rFonts w:hint="eastAsia" w:ascii="仿宋" w:hAnsi="仿宋" w:eastAsia="仿宋" w:cs="仿宋"/>
          <w:b/>
          <w:color w:val="auto"/>
          <w:sz w:val="28"/>
          <w:szCs w:val="28"/>
          <w:highlight w:val="none"/>
        </w:rPr>
        <w:t xml:space="preserve">二、技术要求</w:t>
      </w:r>
      <w:r/>
    </w:p>
    <w:p>
      <w:pPr>
        <w:ind w:firstLine="560"/>
        <w:spacing w:line="590" w:lineRule="exact"/>
        <w:rPr>
          <w:rFonts w:hint="eastAsia" w:ascii="仿宋" w:hAnsi="仿宋" w:eastAsia="仿宋" w:cs="仿宋"/>
          <w:bCs/>
          <w:color w:val="auto"/>
          <w:sz w:val="28"/>
          <w:szCs w:val="28"/>
          <w:highlight w:val="none"/>
        </w:rPr>
      </w:pPr>
      <w:r/>
      <w:bookmarkStart w:id="178" w:name="_Toc15528"/>
      <w:r/>
      <w:bookmarkStart w:id="179" w:name="_Toc6719"/>
      <w:r/>
      <w:bookmarkStart w:id="180" w:name="_Toc16219"/>
      <w:r/>
      <w:bookmarkStart w:id="181" w:name="_Toc26058"/>
      <w:r>
        <w:rPr>
          <w:rFonts w:hint="eastAsia" w:ascii="仿宋" w:hAnsi="仿宋" w:eastAsia="仿宋" w:cs="仿宋"/>
          <w:bCs/>
          <w:color w:val="auto"/>
          <w:sz w:val="28"/>
          <w:szCs w:val="28"/>
          <w:highlight w:val="none"/>
        </w:rPr>
        <w:t xml:space="preserve">技术要求是指对采购标的功能和质量要求，包括性能、材料、结构、外观、安全，或者服务内容和标准等。</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bCs/>
          <w:color w:val="auto"/>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采购人要严格执行绿色采购需求标准，参照《商品包装政府采购需求标准（试行）》《快递包装政府采购需求标准（试行）》（财办库〔2020〕123号）、《绿色数据中心政府采购需求标准（试行）》（财库〔2023〕7号）。</w:t>
      </w:r>
      <w:r/>
    </w:p>
    <w:p>
      <w:pPr>
        <w:ind w:firstLine="560"/>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3.品目清单</w:t>
      </w:r>
      <w:r>
        <w:rPr>
          <w:rFonts w:hint="eastAsia" w:ascii="仿宋" w:hAnsi="仿宋" w:eastAsia="仿宋"/>
          <w:bCs/>
          <w:color w:val="auto"/>
          <w:sz w:val="28"/>
          <w:szCs w:val="28"/>
          <w:highlight w:val="none"/>
        </w:rPr>
        <w:t xml:space="preserve">见《关于印发环境标志产品政府采购品目清单的通知》（财库〔2019〕18号）、《关于印发节能产品政府采购品目清单的通知》（财库〔2019〕19号）。</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（一）采购标的需实现的功能或者目标，以及为落实政府采购政策需满足的要求</w:t>
      </w:r>
      <w:r>
        <w:rPr>
          <w:rFonts w:hint="eastAsia" w:ascii="仿宋" w:hAnsi="仿宋" w:eastAsia="仿宋" w:cs="仿宋"/>
          <w:b/>
          <w:color w:val="auto"/>
          <w:sz w:val="28"/>
          <w:szCs w:val="28"/>
          <w:highlight w:val="none"/>
        </w:rPr>
        <w:t xml:space="preserve">；</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采购人需为钟秀校区教学楼配置教学所需的课桌椅，采购联排课桌椅7454人位，为原活动单人实木课桌配齐实木凳2468张，为录播室配备活动桌椅300人位。</w:t>
      </w:r>
      <w:r/>
    </w:p>
    <w:p>
      <w:pPr>
        <w:ind w:firstLine="643"/>
        <w:spacing w:line="59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（二）采购标的需执行的国家相关标准、行业标准、地方标准或者其他标准、规范</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w:t>
      </w:r>
      <w:r>
        <w:rPr>
          <w:rFonts w:eastAsia="仿宋"/>
          <w:bCs/>
          <w:color w:val="auto"/>
          <w:sz w:val="28"/>
          <w:szCs w:val="28"/>
          <w:highlight w:val="none"/>
        </w:rPr>
        <w:t xml:space="preserve">符合但不限于下面列出的关于</w:t>
      </w:r>
      <w:r>
        <w:rPr>
          <w:rFonts w:hint="eastAsia" w:eastAsia="仿宋"/>
          <w:bCs/>
          <w:color w:val="auto"/>
          <w:sz w:val="28"/>
          <w:szCs w:val="28"/>
          <w:highlight w:val="none"/>
        </w:rPr>
        <w:t xml:space="preserve">木质桌椅类</w:t>
      </w:r>
      <w:r>
        <w:rPr>
          <w:rFonts w:eastAsia="仿宋"/>
          <w:bCs/>
          <w:color w:val="auto"/>
          <w:sz w:val="28"/>
          <w:szCs w:val="28"/>
          <w:highlight w:val="none"/>
        </w:rPr>
        <w:t xml:space="preserve">安全、试验</w:t>
      </w:r>
      <w:r>
        <w:rPr>
          <w:rFonts w:hint="eastAsia" w:eastAsia="仿宋"/>
          <w:bCs/>
          <w:color w:val="auto"/>
          <w:sz w:val="28"/>
          <w:szCs w:val="28"/>
          <w:highlight w:val="none"/>
        </w:rPr>
        <w:t xml:space="preserve">、</w:t>
      </w:r>
      <w:r>
        <w:rPr>
          <w:rFonts w:eastAsia="仿宋"/>
          <w:bCs/>
          <w:color w:val="auto"/>
          <w:sz w:val="28"/>
          <w:szCs w:val="28"/>
          <w:highlight w:val="none"/>
        </w:rPr>
        <w:t xml:space="preserve">检测</w:t>
      </w:r>
      <w:r>
        <w:rPr>
          <w:rFonts w:hint="eastAsia" w:eastAsia="仿宋"/>
          <w:bCs/>
          <w:color w:val="auto"/>
          <w:sz w:val="28"/>
          <w:szCs w:val="28"/>
          <w:highlight w:val="none"/>
        </w:rPr>
        <w:t xml:space="preserve">、</w:t>
      </w:r>
      <w:r>
        <w:rPr>
          <w:rFonts w:eastAsia="仿宋"/>
          <w:bCs/>
          <w:color w:val="auto"/>
          <w:sz w:val="28"/>
          <w:szCs w:val="28"/>
          <w:highlight w:val="none"/>
        </w:rPr>
        <w:t xml:space="preserve">搬运、安装等相关最新标准。如：</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10357.1-2024</w:t>
      </w:r>
      <w:r>
        <w:rPr>
          <w:rFonts w:hint="eastAsia" w:eastAsia="仿宋"/>
          <w:bCs/>
          <w:color w:val="auto"/>
          <w:sz w:val="28"/>
          <w:szCs w:val="28"/>
          <w:highlight w:val="none"/>
        </w:rPr>
        <w:t xml:space="preserve">《</w:t>
      </w:r>
      <w:r>
        <w:rPr>
          <w:rFonts w:eastAsia="仿宋"/>
          <w:bCs/>
          <w:color w:val="auto"/>
          <w:sz w:val="28"/>
          <w:szCs w:val="28"/>
          <w:highlight w:val="none"/>
        </w:rPr>
        <w:t xml:space="preserve">家具力学性能试验第1部分桌类强度和耐久性</w:t>
      </w:r>
      <w:r>
        <w:rPr>
          <w:rFonts w:hint="eastAsia" w:eastAsia="仿宋"/>
          <w:bCs/>
          <w:color w:val="auto"/>
          <w:sz w:val="28"/>
          <w:szCs w:val="28"/>
          <w:highlight w:val="none"/>
        </w:rPr>
        <w:t xml:space="preserve">》</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10357.3-20</w:t>
      </w:r>
      <w:r>
        <w:rPr>
          <w:rFonts w:hint="eastAsia" w:eastAsia="仿宋"/>
          <w:bCs/>
          <w:color w:val="auto"/>
          <w:sz w:val="28"/>
          <w:szCs w:val="28"/>
          <w:highlight w:val="none"/>
        </w:rPr>
        <w:t xml:space="preserve">25《家具力学性能试验第3部分椅凳类强度和耐久性》</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28008-2024《家具结构安全技术规范》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18584-2024《家具中有害物质限量》</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3324-2024《木家具通用技术条件》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 17927—2024《家具阻燃性能安全技术规范》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35607-2024《绿色产品评价 家具》</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4893.1-9 </w:t>
      </w:r>
      <w:r>
        <w:rPr>
          <w:rFonts w:hint="eastAsia" w:eastAsia="仿宋"/>
          <w:bCs/>
          <w:color w:val="auto"/>
          <w:sz w:val="28"/>
          <w:szCs w:val="28"/>
          <w:highlight w:val="none"/>
        </w:rPr>
        <w:t xml:space="preserve">《</w:t>
      </w:r>
      <w:r>
        <w:rPr>
          <w:rFonts w:eastAsia="仿宋"/>
          <w:bCs/>
          <w:color w:val="auto"/>
          <w:sz w:val="28"/>
          <w:szCs w:val="28"/>
          <w:highlight w:val="none"/>
        </w:rPr>
        <w:t xml:space="preserve">家具表面漆膜理化性能试验》系列国家标准</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1927《无疵小试样木材物理力学性质试验方法》系列国家标准的全部21个文件</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GB/T 18883-2022 《室内空气质量标准》等。</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3.满足其他国家相关标准、行业标准、地方标准或者其他标准、规范；</w:t>
      </w:r>
      <w:r/>
    </w:p>
    <w:p>
      <w:pPr>
        <w:ind w:firstLine="560"/>
        <w:spacing w:line="590" w:lineRule="exact"/>
        <w:rPr>
          <w:rFonts w:eastAsia="仿宋"/>
          <w:bCs/>
          <w:color w:val="auto"/>
          <w:sz w:val="28"/>
          <w:szCs w:val="28"/>
          <w:highlight w:val="none"/>
        </w:rPr>
      </w:pPr>
      <w:r>
        <w:rPr>
          <w:rFonts w:eastAsia="仿宋"/>
          <w:bCs/>
          <w:color w:val="auto"/>
          <w:sz w:val="28"/>
          <w:szCs w:val="28"/>
          <w:highlight w:val="none"/>
        </w:rPr>
        <w:t xml:space="preserve">4.符合采购文件项目需求。</w:t>
      </w:r>
      <w:r/>
    </w:p>
    <w:p>
      <w:pPr>
        <w:ind w:firstLine="643"/>
        <w:spacing w:line="59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szCs w:val="32"/>
          <w:highlight w:val="none"/>
        </w:rPr>
        <w:t xml:space="preserve">（三）采购标的需满足的质量、安全、技术规格、物理特性等要求</w:t>
      </w:r>
      <w:r>
        <w:rPr>
          <w:rFonts w:hint="eastAsia" w:ascii="仿宋" w:hAnsi="仿宋" w:eastAsia="仿宋" w:cs="仿宋"/>
          <w:b/>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1.投标人可以到现场踏勘以充分了解户型、地点、道路、储存空间、装卸限制及任何其它足以影响投标报价的情况，任何因忽视或误解工地情况而导致的索赔或供货期延长申请将不获批准，由此发生的任何费用由投标人自理。</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踏勘时间：本公告发布之日起10日内（8:30-11:00，14:30-16:30），踏勘地点：南通职业大学钟秀校区教学楼，踏勘联系人：徐老师（</w:t>
      </w:r>
      <w:r>
        <w:rPr>
          <w:rFonts w:eastAsia="仿宋"/>
          <w:bCs/>
          <w:color w:val="auto"/>
          <w:sz w:val="28"/>
          <w:szCs w:val="28"/>
          <w:highlight w:val="none"/>
        </w:rPr>
        <w:t xml:space="preserve">13962980630</w:t>
      </w:r>
      <w:r>
        <w:rPr>
          <w:rFonts w:hint="eastAsia" w:eastAsia="仿宋"/>
          <w:bCs/>
          <w:color w:val="auto"/>
          <w:sz w:val="28"/>
          <w:szCs w:val="28"/>
          <w:highlight w:val="none"/>
        </w:rPr>
        <w:t xml:space="preserve">）。</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2.投标人应采取必要的安全措施保证货物的运输及安装的安全，并承担货物的运输及安装过程中产生的风险。</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3.投标人所投产品必须从厂家生产完毕后在现场安装，不得在施工现场制作。</w:t>
      </w:r>
      <w:r/>
    </w:p>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4.投标人提供的所有货物必须满足招标文件要求，须与分项报价明细表注明的内容相符，否则投标人承担违约责任。货物到达现场后，需报采购人同意后方可安装，对于将不合格的货物使用到本项目，一切损失及后果由投标人自行承担。</w:t>
      </w:r>
      <w:r/>
    </w:p>
    <w:tbl>
      <w:tblPr>
        <w:tblStyle w:val="831"/>
        <w:tblpPr w:horzAnchor="text" w:tblpX="10934" w:vertAnchor="text" w:tblpY="74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8"/>
      </w:tblGrid>
      <w:tr>
        <w:trPr>
          <w:trHeight w:val="30"/>
        </w:trPr>
        <w:tc>
          <w:tcPr>
            <w:tcW w:w="1658" w:type="dxa"/>
            <w:textDirection w:val="lrTb"/>
            <w:noWrap w:val="false"/>
          </w:tcPr>
          <w:p>
            <w:pPr>
              <w:spacing w:line="590" w:lineRule="exact"/>
              <w:rPr>
                <w:rFonts w:eastAsia="仿宋"/>
                <w:bCs/>
                <w:color w:val="auto"/>
                <w:sz w:val="28"/>
                <w:szCs w:val="28"/>
                <w:highlight w:val="none"/>
              </w:rPr>
            </w:pPr>
            <w:r>
              <w:rPr>
                <w:rFonts w:eastAsia="仿宋"/>
                <w:bCs/>
                <w:color w:val="auto"/>
                <w:sz w:val="28"/>
                <w:szCs w:val="28"/>
                <w:highlight w:val="none"/>
              </w:rPr>
            </w:r>
            <w:r/>
          </w:p>
        </w:tc>
      </w:tr>
    </w:tbl>
    <w:p>
      <w:pPr>
        <w:ind w:firstLine="560"/>
        <w:spacing w:line="590" w:lineRule="exact"/>
        <w:rPr>
          <w:rFonts w:eastAsia="仿宋"/>
          <w:bCs/>
          <w:color w:val="auto"/>
          <w:sz w:val="28"/>
          <w:szCs w:val="28"/>
          <w:highlight w:val="none"/>
        </w:rPr>
      </w:pPr>
      <w:r>
        <w:rPr>
          <w:rFonts w:hint="eastAsia" w:eastAsia="仿宋"/>
          <w:bCs/>
          <w:color w:val="auto"/>
          <w:sz w:val="28"/>
          <w:szCs w:val="28"/>
          <w:highlight w:val="none"/>
        </w:rPr>
        <w:t xml:space="preserve">5.项目技术参数及产品标准等。</w:t>
      </w:r>
      <w:r/>
    </w:p>
    <w:tbl>
      <w:tblPr>
        <w:tblStyle w:val="802"/>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5"/>
        <w:gridCol w:w="1702"/>
        <w:gridCol w:w="7553"/>
      </w:tblGrid>
      <w:tr>
        <w:trPr/>
        <w:tc>
          <w:tcPr>
            <w:gridSpan w:val="2"/>
            <w:tcW w:w="705"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r>
            <w:r/>
          </w:p>
        </w:tc>
        <w:tc>
          <w:tcPr>
            <w:tcW w:w="1702"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类别</w:t>
            </w:r>
            <w:r/>
          </w:p>
        </w:tc>
        <w:tc>
          <w:tcPr>
            <w:tcW w:w="7553" w:type="dxa"/>
            <w:vAlign w:val="center"/>
            <w:textDirection w:val="lrTb"/>
            <w:noWrap w:val="false"/>
          </w:tcPr>
          <w:p>
            <w:pPr>
              <w:jc w:val="center"/>
              <w:rPr>
                <w:rFonts w:eastAsia="方正仿宋_GBK"/>
                <w:b/>
                <w:bCs/>
                <w:color w:val="auto"/>
                <w:sz w:val="24"/>
                <w:szCs w:val="24"/>
                <w:highlight w:val="none"/>
              </w:rPr>
            </w:pPr>
            <w:r>
              <w:rPr>
                <w:rFonts w:eastAsia="方正仿宋_GBK"/>
                <w:b/>
                <w:bCs/>
                <w:color w:val="auto"/>
                <w:sz w:val="24"/>
                <w:szCs w:val="24"/>
                <w:highlight w:val="none"/>
              </w:rPr>
              <w:t xml:space="preserve">技术参数要求</w:t>
            </w:r>
            <w:r/>
          </w:p>
        </w:tc>
      </w:tr>
      <w:tr>
        <w:trPr>
          <w:trHeight w:val="480"/>
        </w:trPr>
        <w:tc>
          <w:tcPr>
            <w:gridSpan w:val="2"/>
            <w:tcW w:w="705" w:type="dxa"/>
            <w:vAlign w:val="center"/>
            <w:vMerge w:val="restart"/>
            <w:textDirection w:val="lrTb"/>
            <w:noWrap w:val="false"/>
          </w:tcPr>
          <w:p>
            <w:pPr>
              <w:jc w:val="center"/>
              <w:rPr>
                <w:rFonts w:eastAsia="方正仿宋_GBK"/>
                <w:color w:val="auto"/>
                <w:sz w:val="24"/>
                <w:szCs w:val="24"/>
                <w:highlight w:val="none"/>
              </w:rPr>
            </w:pPr>
            <w:r>
              <w:rPr>
                <w:rFonts w:hint="eastAsia" w:eastAsia="方正仿宋_GBK"/>
                <w:color w:val="auto"/>
                <w:sz w:val="24"/>
                <w:szCs w:val="24"/>
                <w:highlight w:val="none"/>
              </w:rPr>
              <w:t xml:space="preserve">产品1联排课桌椅</w:t>
            </w:r>
            <w:r/>
          </w:p>
        </w:tc>
        <w:tc>
          <w:tcPr>
            <w:tcW w:w="1702" w:type="dxa"/>
            <w:vAlign w:val="center"/>
            <w:vMerge w:val="restart"/>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jc w:val="center"/>
              <w:rPr>
                <w:rFonts w:eastAsia="方正仿宋_GBK"/>
                <w:b/>
                <w:bCs/>
                <w:color w:val="auto"/>
                <w:sz w:val="24"/>
                <w:szCs w:val="24"/>
                <w:highlight w:val="none"/>
              </w:rPr>
            </w:pPr>
            <w:r>
              <w:rPr>
                <w:rFonts w:hint="eastAsia" w:eastAsia="方正仿宋_GBK"/>
                <w:b/>
                <w:bCs/>
                <w:color w:val="auto"/>
                <w:sz w:val="24"/>
                <w:szCs w:val="24"/>
                <w:highlight w:val="none"/>
              </w:rPr>
              <w:t xml:space="preserve">联排桌（前排）</w:t>
            </w:r>
            <w:r/>
          </w:p>
        </w:tc>
      </w:tr>
      <w:tr>
        <w:trPr>
          <w:trHeight w:val="961"/>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spacing w:after="0" w:line="360" w:lineRule="auto"/>
              <w:rPr>
                <w:rFonts w:hint="eastAsia" w:ascii="宋体" w:hAnsi="宋体" w:cs="宋体"/>
                <w:color w:val="auto"/>
                <w:sz w:val="24"/>
                <w:highlight w:val="none"/>
              </w:rPr>
            </w:pPr>
            <w:r>
              <w:rPr>
                <w:rFonts w:hint="eastAsia" w:ascii="宋体" w:hAnsi="宋体" w:cs="宋体"/>
                <w:b/>
                <w:color w:val="auto"/>
                <w:sz w:val="24"/>
                <w:szCs w:val="24"/>
                <w:highlight w:val="none"/>
              </w:rPr>
              <w:t xml:space="preserve">1.</w:t>
            </w:r>
            <w:r>
              <w:rPr>
                <w:rFonts w:hint="eastAsia" w:ascii="宋体" w:hAnsi="宋体" w:cs="宋体"/>
                <w:color w:val="auto"/>
                <w:sz w:val="24"/>
                <w:szCs w:val="24"/>
                <w:highlight w:val="none"/>
              </w:rPr>
              <w:t xml:space="preserve">脚架规格</w:t>
            </w:r>
            <w:r>
              <w:rPr>
                <w:rFonts w:hint="eastAsia" w:ascii="宋体" w:hAnsi="宋体" w:cs="宋体"/>
                <w:b/>
                <w:color w:val="auto"/>
                <w:sz w:val="24"/>
                <w:szCs w:val="24"/>
                <w:highlight w:val="none"/>
              </w:rPr>
              <w:t xml:space="preserve">：</w:t>
            </w:r>
            <w:r>
              <w:rPr>
                <w:rFonts w:hint="eastAsia" w:ascii="宋体" w:hAnsi="宋体" w:cs="宋体"/>
                <w:color w:val="auto"/>
                <w:sz w:val="24"/>
                <w:szCs w:val="24"/>
                <w:highlight w:val="none"/>
              </w:rPr>
              <w:t xml:space="preserve">高度780mm</w:t>
            </w:r>
            <w:r/>
          </w:p>
          <w:p>
            <w:pPr>
              <w:spacing w:after="0" w:line="360" w:lineRule="auto"/>
              <w:rPr>
                <w:rFonts w:hint="eastAsia" w:ascii="宋体" w:hAnsi="宋体" w:cs="宋体"/>
                <w:bCs/>
                <w:color w:val="auto"/>
                <w:sz w:val="24"/>
                <w:highlight w:val="none"/>
              </w:rPr>
            </w:pPr>
            <w:r>
              <w:rPr>
                <w:rFonts w:hint="eastAsia" w:ascii="宋体" w:hAnsi="宋体" w:cs="宋体"/>
                <w:b/>
                <w:bCs/>
                <w:color w:val="auto"/>
                <w:sz w:val="24"/>
                <w:szCs w:val="24"/>
                <w:highlight w:val="none"/>
              </w:rPr>
              <w:t xml:space="preserve">2.</w:t>
            </w:r>
            <w:r>
              <w:rPr>
                <w:rFonts w:hint="eastAsia" w:ascii="宋体" w:hAnsi="宋体" w:cs="宋体"/>
                <w:color w:val="auto"/>
                <w:sz w:val="24"/>
                <w:szCs w:val="24"/>
                <w:highlight w:val="none"/>
              </w:rPr>
              <w:t xml:space="preserve">前排背板</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采用10mm（不允许负偏离）厚的优质贴面防火板。背板弧型弯曲，根据力学、工程力学等合理设计。</w:t>
            </w:r>
            <w:r/>
          </w:p>
          <w:p>
            <w:pPr>
              <w:spacing w:line="360" w:lineRule="auto"/>
              <w:rPr>
                <w:rFonts w:hint="eastAsia" w:ascii="宋体" w:hAnsi="宋体" w:cs="宋体"/>
                <w:color w:val="auto"/>
                <w:sz w:val="24"/>
                <w:highlight w:val="none"/>
              </w:rPr>
            </w:pPr>
            <w:r>
              <w:rPr>
                <w:rFonts w:hint="eastAsia" w:ascii="宋体" w:hAnsi="宋体" w:cs="宋体"/>
                <w:b/>
                <w:bCs/>
                <w:color w:val="auto"/>
                <w:sz w:val="24"/>
                <w:szCs w:val="24"/>
                <w:highlight w:val="none"/>
              </w:rPr>
              <w:t xml:space="preserve">3.</w:t>
            </w:r>
            <w:r>
              <w:rPr>
                <w:rFonts w:hint="eastAsia" w:ascii="宋体" w:hAnsi="宋体" w:cs="宋体"/>
                <w:color w:val="auto"/>
                <w:sz w:val="24"/>
                <w:szCs w:val="24"/>
                <w:highlight w:val="none"/>
              </w:rPr>
              <w:t xml:space="preserve">铝合金背板四边框架：规格447mm*515mm*55mm（如图1、2所示）。背板四边框架采用铝合金一体压铸或其他工艺成型，表面须有涂层，且附着力强，抗腐蚀。框架与站脚连接采用圆头防滑螺帽，表面光滑无尖锐物。</w:t>
            </w:r>
            <w:r/>
          </w:p>
          <w:p>
            <w:pPr>
              <w:ind w:left="420"/>
              <w:jc w:val="center"/>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185035" cy="2339975"/>
                      <wp:effectExtent l="0" t="0" r="3175" b="5715"/>
                      <wp:docPr id="14" name="图片 18" descr="86330451379827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descr="863304513798277182"/>
                              <pic:cNvPicPr>
                                <a:picLocks noChangeAspect="1"/>
                              </pic:cNvPicPr>
                              <pic:nvPr/>
                            </pic:nvPicPr>
                            <pic:blipFill>
                              <a:blip r:embed="rId24"/>
                              <a:stretch/>
                            </pic:blipFill>
                            <pic:spPr bwMode="auto">
                              <a:xfrm rot="-5400000">
                                <a:off x="0" y="0"/>
                                <a:ext cx="2185035" cy="2339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2.0pt;height:184.2pt;mso-wrap-distance-left:0.0pt;mso-wrap-distance-top:0.0pt;mso-wrap-distance-right:0.0pt;mso-wrap-distance-bottom:0.0pt;rotation:-90;" stroked="f">
                      <v:path textboxrect="0,0,0,0"/>
                      <v:imagedata r:id="rId24" o:title=""/>
                    </v:shape>
                  </w:pict>
                </mc:Fallback>
              </mc:AlternateContent>
            </w:r>
            <w:r/>
          </w:p>
          <w:p>
            <w:pPr>
              <w:jc w:val="center"/>
              <w:spacing w:line="360" w:lineRule="auto"/>
              <w:rPr>
                <w:rFonts w:hint="eastAsia" w:ascii="宋体" w:hAnsi="宋体" w:cs="宋体"/>
                <w:color w:val="auto"/>
                <w:sz w:val="24"/>
                <w:highlight w:val="none"/>
              </w:rPr>
            </w:pPr>
            <w:r>
              <w:rPr>
                <w:rFonts w:hint="eastAsia" w:ascii="仿宋" w:hAnsi="仿宋" w:eastAsia="仿宋" w:cs="仿宋"/>
                <w:color w:val="auto"/>
                <w:sz w:val="28"/>
                <w:szCs w:val="28"/>
                <w:highlight w:val="none"/>
              </w:rPr>
              <w:t xml:space="preserve">图1 背板铝合金边框参考图</w:t>
            </w:r>
            <w:r/>
          </w:p>
          <w:p>
            <w:pPr>
              <w:ind w:left="420"/>
              <w:jc w:val="center"/>
              <w:spacing w:line="360" w:lineRule="auto"/>
              <w:rPr>
                <w:color w:val="auto"/>
                <w:sz w:val="28"/>
                <w:szCs w:val="40"/>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616585" cy="3364230"/>
                      <wp:effectExtent l="0" t="0" r="7620" b="12065"/>
                      <wp:docPr id="15" name="图片 22"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2" descr="WPS图片(1)"/>
                              <pic:cNvPicPr>
                                <a:picLocks noChangeAspect="1"/>
                              </pic:cNvPicPr>
                              <pic:nvPr/>
                            </pic:nvPicPr>
                            <pic:blipFill>
                              <a:blip r:embed="rId25"/>
                              <a:stretch/>
                            </pic:blipFill>
                            <pic:spPr bwMode="auto">
                              <a:xfrm rot="-5400000">
                                <a:off x="0" y="0"/>
                                <a:ext cx="616585" cy="3364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5pt;height:264.9pt;mso-wrap-distance-left:0.0pt;mso-wrap-distance-top:0.0pt;mso-wrap-distance-right:0.0pt;mso-wrap-distance-bottom:0.0pt;rotation:-90;" stroked="f">
                      <v:path textboxrect="0,0,0,0"/>
                      <v:imagedata r:id="rId25" o:title=""/>
                    </v:shape>
                  </w:pict>
                </mc:Fallback>
              </mc:AlternateConten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图2   背板铝合金边框侧视参考图</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桌面：规格530mm*350mm，厚25mm（不允许负偏离），基材采用E1级环保中纤板，四周包边采用塑料整体注塑嵌边或其他工艺成型。为保护学生眼睛，桌面表面呈网格孔状，达到漫反射光线效果；桌面前沿设计带弧度，无棱角处理，减少学生写字时给手臂带来的伤害，符合人体工程学设计，整体采用注塑或其他包边工艺设计，使用更舒适，增加产品使用寿命；桌面左右两端呈子母扣形状，使桌面与桌面拼接时可成扣合状，或其他工艺，保证桌面平整度。</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5.过道防撞条：规格320mm*50mm*25mm，采用注塑或其他工艺成型，减少学生碰撞带来的伤害。建议防撞条采用扣合或其他的方式与桌面连接在一起，下方连接于桌面支撑，保证防撞条牢固不脱落。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6.桌面支撑件：采用铝合金一体压铸或其他成型工艺，尺寸：290mm*105mm*20mm。表面光滑须有涂层，且附着力强，抗腐蚀。</w:t>
            </w:r>
            <w:r/>
          </w:p>
          <w:p>
            <w:pPr>
              <w:spacing w:line="360" w:lineRule="auto"/>
              <w:rPr>
                <w:color w:val="auto"/>
                <w:highlight w:val="none"/>
              </w:rPr>
            </w:pPr>
            <w:r>
              <w:rPr>
                <w:rFonts w:hint="eastAsia" w:ascii="宋体" w:hAnsi="宋体" w:cs="宋体"/>
                <w:color w:val="auto"/>
                <w:sz w:val="24"/>
                <w:szCs w:val="24"/>
                <w:highlight w:val="none"/>
              </w:rPr>
              <w:t xml:space="preserve">7.铝合金书网篮：宽460mm*深290mm*高105mm。采用镂空设计，连接在桌面板下方，与桌面板平行；采用优质环保铝合金材料经模具一体压铸或其他工艺成型书网，表面须有涂层，附着力强，抗腐蚀。书网篮方便放取物件，且不能因镂空孔眼过大，导致物品掉落。</w:t>
            </w:r>
            <w:r/>
          </w:p>
          <w:p>
            <w:pPr>
              <w:spacing w:after="0" w:line="360" w:lineRule="auto"/>
              <w:rPr>
                <w:color w:val="auto"/>
                <w:highlight w:val="none"/>
              </w:rPr>
            </w:pPr>
            <w:r>
              <w:rPr>
                <w:rFonts w:hint="eastAsia" w:ascii="宋体" w:hAnsi="宋体" w:cs="宋体"/>
                <w:color w:val="auto"/>
                <w:sz w:val="24"/>
                <w:szCs w:val="24"/>
                <w:highlight w:val="none"/>
              </w:rPr>
              <w:t xml:space="preserve">8.地爆螺丝：采用内六角膨胀螺丝。</w:t>
            </w:r>
            <w:r/>
          </w:p>
        </w:tc>
      </w:tr>
      <w:tr>
        <w:trPr>
          <w:trHeight w:val="480"/>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Align w:val="center"/>
            <w:vMerge w:val="restart"/>
            <w:textDirection w:val="lrTb"/>
            <w:noWrap w:val="false"/>
          </w:tcPr>
          <w:p>
            <w:pPr>
              <w:jc w:val="center"/>
              <w:spacing w:after="0"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联排课桌椅（中排）</w:t>
            </w:r>
            <w:r/>
          </w:p>
        </w:tc>
      </w:tr>
      <w:tr>
        <w:trPr>
          <w:trHeight w:val="3492"/>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7553" w:type="dxa"/>
            <w:vMerge w:val="restart"/>
            <w:textDirection w:val="lrTb"/>
            <w:noWrap w:val="false"/>
          </w:tcPr>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1.座椅规格：站脚高度880mm，座椅中心距520mm，座包基准点离地445mm。</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2.椅座</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坐板规格宽450mm*深430mm，厚15mm（不允许负偏离），采用优质贴面防火板。椅座弧型弯曲，根据人体力学、工程力学和人体曲线合理设计。采用圆头防滑螺帽，表面光滑无尖锐物。</w:t>
            </w:r>
            <w:r/>
          </w:p>
          <w:p>
            <w:pPr>
              <w:spacing w:line="360" w:lineRule="auto"/>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color w:val="auto"/>
                <w:sz w:val="24"/>
                <w:szCs w:val="24"/>
                <w:highlight w:val="none"/>
              </w:rPr>
              <w:t xml:space="preserve">.椅背：厚度10mm（不允许负偏离），采用优质贴面防火板。靠背弧型弯曲，根据人体力学、工程力学和人体曲线合理设计。</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color w:val="auto"/>
                <w:sz w:val="24"/>
                <w:szCs w:val="24"/>
                <w:highlight w:val="none"/>
              </w:rPr>
              <w:t xml:space="preserve">铝合金椅背四边框架</w:t>
            </w:r>
            <w:r>
              <w:rPr>
                <w:rFonts w:hint="eastAsia" w:ascii="宋体" w:hAnsi="宋体" w:cs="宋体"/>
                <w:b/>
                <w:bCs/>
                <w:color w:val="auto"/>
                <w:sz w:val="24"/>
                <w:szCs w:val="24"/>
                <w:highlight w:val="none"/>
              </w:rPr>
              <w:t xml:space="preserve">：</w:t>
            </w:r>
            <w:r>
              <w:rPr>
                <w:rFonts w:hint="eastAsia" w:ascii="宋体" w:hAnsi="宋体" w:cs="宋体"/>
                <w:color w:val="auto"/>
                <w:sz w:val="24"/>
                <w:szCs w:val="24"/>
                <w:highlight w:val="none"/>
              </w:rPr>
              <w:t xml:space="preserve">规格447mm*515mm*55mm（如图1、2所示）。背板四边框架采用铝合金一体压铸或其他工艺成型，表面须有涂层，且附着力强，抗腐蚀。框架与站脚连接采用圆头防滑螺帽，表面光滑无尖锐物。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5.铝合金站脚：铝合金一体压铸或其他工艺成型。表面无焊点，须有涂层，且附着力强，抗腐蚀。扶手宽度50mm，扶手离地高度650mm，站脚间距为520mm，站脚底部长度325mm，站脚固定安装孔距295mm，站脚高度880mm。</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w:t>
            </w:r>
            <w:r>
              <w:rPr>
                <w:rFonts w:hint="eastAsia" w:ascii="宋体" w:hAnsi="宋体" w:cs="宋体"/>
                <w:color w:val="auto"/>
                <w:sz w:val="24"/>
                <w:szCs w:val="24"/>
                <w:highlight w:val="none"/>
              </w:rPr>
              <w:t xml:space="preserve">桌面：规格530mm*350mm，厚25mm（不允许负偏离），基材采用E1级环保中纤板，四周包边采用塑料整体注塑嵌边或其他工艺成型。为保护学生眼睛，桌面表面呈网格孔状，达到漫反射光线效果；桌面前沿设计带弧度，无棱角处理，减少学生写字时给手臂带来的伤害，符合人体工程学设计，整体采用注塑或其他包边工艺设计，使用更舒适，增加产品使用寿命；桌面左右两端呈子母扣形状，使桌面与桌面拼接时可成扣合状，或其他工艺，保证桌面平整度。</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w:t>
            </w:r>
            <w:r>
              <w:rPr>
                <w:rFonts w:hint="eastAsia" w:ascii="宋体" w:hAnsi="宋体" w:cs="宋体"/>
                <w:color w:val="auto"/>
                <w:sz w:val="24"/>
                <w:szCs w:val="24"/>
                <w:highlight w:val="none"/>
              </w:rPr>
              <w:t xml:space="preserve">过道防撞条：规格320mm*50mm*25mm，采用注塑或其他工艺成型，减少学生碰撞带来的伤害。建议防撞条采用扣合或其他的方式与桌面连接在一起，下方连接于桌面支撑，保证防撞条牢固不脱落。</w:t>
            </w:r>
            <w:r/>
          </w:p>
          <w:p>
            <w:pPr>
              <w:spacing w:line="360" w:lineRule="auto"/>
              <w:rPr>
                <w:rFonts w:hint="eastAsia" w:ascii="宋体" w:hAnsi="宋体" w:cs="宋体"/>
                <w:bCs/>
                <w:color w:val="auto"/>
                <w:sz w:val="24"/>
                <w:szCs w:val="24"/>
                <w:highlight w:val="none"/>
              </w:rPr>
            </w:pPr>
            <w:r>
              <w:rPr>
                <w:rFonts w:hint="eastAsia" w:ascii="宋体" w:hAnsi="宋体" w:cs="宋体"/>
                <w:b/>
                <w:bCs/>
                <w:color w:val="auto"/>
                <w:sz w:val="24"/>
                <w:szCs w:val="24"/>
                <w:highlight w:val="none"/>
              </w:rPr>
              <w:t xml:space="preserve">8.</w:t>
            </w:r>
            <w:r>
              <w:rPr>
                <w:rFonts w:hint="eastAsia" w:ascii="宋体" w:hAnsi="宋体" w:cs="宋体"/>
                <w:color w:val="auto"/>
                <w:sz w:val="24"/>
                <w:szCs w:val="24"/>
                <w:highlight w:val="none"/>
              </w:rPr>
              <w:t xml:space="preserve">桌面支撑件：采用铝合金一体压铸或其他成型工艺，尺寸：290mm*105mm*20mm。表面光滑须有涂层，且附着力强，抗腐蚀。</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w:t>
            </w:r>
            <w:r>
              <w:rPr>
                <w:rFonts w:hint="eastAsia" w:ascii="宋体" w:hAnsi="宋体" w:cs="宋体"/>
                <w:color w:val="auto"/>
                <w:sz w:val="24"/>
                <w:szCs w:val="24"/>
                <w:highlight w:val="none"/>
              </w:rPr>
              <w:t xml:space="preserve">铝合金书网篮：宽460mm*深290mm*高105mm。采用镂空设计，连接在桌面板下方，与桌面板平行；采用优质环保铝合金材料经模具一体压铸或其他工艺成型书网，表面须有涂层，附着力强，抗腐蚀。书网篮方便放取物件，且不能因镂空孔眼过大，导致物品掉落。</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防夹手安全角码：宽70mm*120mm。采用铝合金压铸或其他工艺成型，与站脚连接建议采用无缝式结构，加强座椅安全性。角码表面采用金属漆饰面，且附着力强，抗腐蚀，并与座板直接连接，外部无需角码盖等修饰。</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11.回复机构：椅座采用重力回复方式，加消音垫，要求回复轻灵，零机械故障，持久耐用。</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12.地爆螺丝：采用内六角膨胀螺丝。</w:t>
            </w:r>
            <w:r/>
          </w:p>
        </w:tc>
      </w:tr>
      <w:tr>
        <w:trPr>
          <w:trHeight w:val="675"/>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vMerge w:val="restart"/>
            <w:textDirection w:val="lrTb"/>
            <w:noWrap w:val="false"/>
          </w:tcPr>
          <w:p>
            <w:pPr>
              <w:jc w:val="center"/>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联排椅（后排）</w:t>
            </w:r>
            <w:r/>
          </w:p>
        </w:tc>
      </w:tr>
      <w:tr>
        <w:trPr>
          <w:trHeight w:val="2799"/>
        </w:trPr>
        <w:tc>
          <w:tcPr>
            <w:gridSpan w:val="2"/>
            <w:tcW w:w="705" w:type="dxa"/>
            <w:vAlign w:val="center"/>
            <w:vMerge w:val="continue"/>
            <w:textDirection w:val="lrTb"/>
            <w:noWrap w:val="false"/>
          </w:tcPr>
          <w:p>
            <w:pPr>
              <w:jc w:val="cente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vMerge w:val="continue"/>
            <w:textDirection w:val="lrTb"/>
            <w:noWrap w:val="false"/>
          </w:tcPr>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tc>
        <w:tc>
          <w:tcPr>
            <w:tcW w:w="7553" w:type="dxa"/>
            <w:textDirection w:val="lrTb"/>
            <w:noWrap w:val="false"/>
          </w:tcPr>
          <w:p>
            <w:pPr>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1.座椅规格：座</w:t>
            </w:r>
            <w:r>
              <w:rPr>
                <w:rFonts w:hint="eastAsia" w:ascii="宋体" w:hAnsi="宋体" w:cs="宋体"/>
                <w:color w:val="auto"/>
                <w:sz w:val="24"/>
                <w:szCs w:val="24"/>
                <w:highlight w:val="none"/>
              </w:rPr>
              <w:t xml:space="preserve">椅高度880mm，座椅中心距520mm，座包基准点离地445mm。</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2.椅座：坐板规格宽450mm*深430mm，厚15mm（不允许负偏离），采用优质贴面防火板。椅座弧型弯曲，根据人体力学、工程力学和人体曲线合理设计。采用圆头防滑螺帽，表面光滑无尖锐物。</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3.椅背：厚度10mm（不允许负偏离），采用优质贴面防火板。靠背弧型弯曲，根据人体力学、工程力学和人体曲线合理设计。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4.铝合金椅背四边框架：规格447mm*515mm*55mm（如图1、2所示）。背板四边框架采用铝合金一体压铸或其他工艺成型，表面须有涂层，且附着力强，抗腐蚀。框架与站脚连接采用圆头防滑螺帽，表面光滑无尖锐物。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5.铝合金站脚：铝合金一体压铸或其他工艺成型。表面无焊点，须有涂层，且附着力强，抗腐蚀。扶手宽度50mm，扶手离地高度650mm，站脚间距为520mm，站脚底部长度325mm，站脚固定安装孔距295mm，站脚高度880mm。</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6.回复机构：椅座采用重力回复方式，加消音垫，要求回复轻灵，零机械故障，持久耐用。</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7.防夹手安全角码：宽70mm*120mm。采用铝合金压铸或其他工艺成型，与站脚连接建议采用无缝式结构，加强座椅安全性。角码表面采用金属漆饰面，且附着力强，抗腐蚀，并与座板直接连接，外部无需角码盖等修饰。</w:t>
            </w:r>
            <w:r/>
          </w:p>
          <w:p>
            <w:pPr>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8.地爆螺丝：采用内六角膨胀螺丝。</w:t>
            </w:r>
            <w:r/>
          </w:p>
        </w:tc>
      </w:tr>
      <w:tr>
        <w:trPr>
          <w:trHeight w:val="90"/>
        </w:trPr>
        <w:tc>
          <w:tcPr>
            <w:gridSpan w:val="2"/>
            <w:tcW w:w="705"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 </w:t>
            </w:r>
            <w:r>
              <w:rPr>
                <w:rFonts w:hint="eastAsia" w:eastAsia="方正仿宋_GBK"/>
                <w:color w:val="auto"/>
                <w:sz w:val="24"/>
                <w:szCs w:val="24"/>
                <w:highlight w:val="none"/>
              </w:rPr>
              <w:t xml:space="preserve">产品2</w:t>
            </w:r>
            <w:r/>
          </w:p>
        </w:tc>
        <w:tc>
          <w:tcPr>
            <w:tcW w:w="1702" w:type="dxa"/>
            <w:vAlign w:val="center"/>
            <w:textDirection w:val="lrTb"/>
            <w:noWrap w:val="false"/>
          </w:tcPr>
          <w:p>
            <w:pPr>
              <w:rPr>
                <w:rFonts w:eastAsia="方正仿宋_GBK"/>
                <w:color w:val="auto"/>
                <w:sz w:val="24"/>
                <w:szCs w:val="24"/>
                <w:highlight w:val="none"/>
              </w:rPr>
            </w:pPr>
            <w:r>
              <w:rPr>
                <w:rFonts w:eastAsia="方正仿宋_GBK"/>
                <w:color w:val="auto"/>
                <w:sz w:val="24"/>
                <w:szCs w:val="24"/>
                <w:highlight w:val="none"/>
              </w:rPr>
              <w:t xml:space="preserve">实木</w:t>
            </w:r>
            <w:r>
              <w:rPr>
                <w:rFonts w:hint="eastAsia" w:eastAsia="方正仿宋_GBK"/>
                <w:color w:val="auto"/>
                <w:sz w:val="24"/>
                <w:szCs w:val="24"/>
                <w:highlight w:val="none"/>
              </w:rPr>
              <w:t xml:space="preserve">凳</w:t>
            </w:r>
            <w:r/>
          </w:p>
        </w:tc>
        <w:tc>
          <w:tcPr>
            <w:tcW w:w="7553" w:type="dxa"/>
            <w:textDirection w:val="lrTb"/>
            <w:noWrap w:val="false"/>
          </w:tcPr>
          <w:p>
            <w:pPr>
              <w:numPr>
                <w:ilvl w:val="0"/>
                <w:numId w:val="7"/>
              </w:numPr>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rPr>
              <w:t xml:space="preserve">规格：长</w:t>
            </w:r>
            <w:r>
              <w:rPr>
                <w:rFonts w:hint="eastAsia" w:ascii="宋体" w:hAnsi="宋体" w:cs="宋体"/>
                <w:color w:val="auto"/>
                <w:sz w:val="24"/>
                <w:szCs w:val="24"/>
                <w:highlight w:val="none"/>
                <w:lang w:bidi="ar"/>
              </w:rPr>
              <w:t xml:space="preserve">400mm*宽280mm*高440mm</w:t>
            </w:r>
            <w:r/>
          </w:p>
          <w:p>
            <w:pPr>
              <w:numPr>
                <w:ilvl w:val="0"/>
                <w:numId w:val="7"/>
              </w:num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面板厚18mm（不允许负偏离）橡木齿接板，凳脚采用橡木实木无节材，榫卯结构。</w:t>
            </w:r>
            <w:r/>
          </w:p>
          <w:p>
            <w:pPr>
              <w:numPr>
                <w:ilvl w:val="0"/>
                <w:numId w:val="7"/>
              </w:numPr>
              <w:spacing w:line="360" w:lineRule="auto"/>
              <w:rPr>
                <w:color w:val="auto"/>
                <w:highlight w:val="none"/>
              </w:rPr>
            </w:pPr>
            <w:r>
              <w:rPr>
                <w:rFonts w:hint="eastAsia" w:ascii="宋体" w:hAnsi="宋体" w:cs="宋体"/>
                <w:color w:val="auto"/>
                <w:sz w:val="24"/>
                <w:szCs w:val="24"/>
                <w:highlight w:val="none"/>
              </w:rPr>
              <w:t xml:space="preserve">油漆</w:t>
            </w:r>
            <w:r>
              <w:rPr>
                <w:rFonts w:hint="eastAsia" w:ascii="宋体" w:hAnsi="宋体" w:cs="宋体"/>
                <w:color w:val="auto"/>
                <w:sz w:val="24"/>
                <w:szCs w:val="24"/>
                <w:highlight w:val="none"/>
                <w:lang w:bidi="ar"/>
              </w:rPr>
              <w:t xml:space="preserve">采用环保型UV漆（无味无毒）三底，环保水性面漆二遍，颜色为原木色。环保标准：总成品甲醛释放量≤0.5mg/L，胶黏剂符合国标要求。</w:t>
            </w:r>
            <w:r/>
          </w:p>
          <w:p>
            <w:pPr>
              <w:pStyle w:val="793"/>
              <w:rPr>
                <w:rFonts w:eastAsia="宋体"/>
                <w:color w:val="auto"/>
                <w:highlight w:val="none"/>
              </w:rPr>
            </w:pPr>
            <w:r>
              <w:rPr>
                <w:rFonts w:hint="eastAsia" w:ascii="宋体" w:hAnsi="宋体" w:eastAsia="宋体" w:cs="宋体"/>
                <w:color w:val="auto"/>
                <w:sz w:val="24"/>
                <w:szCs w:val="24"/>
                <w:highlight w:val="none"/>
                <w:lang w:bidi="ar"/>
              </w:rPr>
              <w:t xml:space="preserve">4.</w:t>
            </w:r>
            <w:r>
              <w:rPr>
                <w:rFonts w:hint="eastAsia" w:eastAsia="方正仿宋_GBK"/>
                <w:color w:val="auto"/>
                <w:sz w:val="24"/>
                <w:szCs w:val="24"/>
                <w:highlight w:val="none"/>
              </w:rPr>
              <w:t xml:space="preserve">具体规格参考图</w:t>
            </w:r>
            <w:r/>
          </w:p>
          <w:p>
            <w:pPr>
              <w:jc w:val="left"/>
              <w:rPr>
                <w:rFonts w:eastAsia="方正仿宋_GBK"/>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4620260" cy="4355465"/>
                      <wp:effectExtent l="0" t="0" r="8890" b="6985"/>
                      <wp:docPr id="16"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4"/>
                              <pic:cNvPicPr>
                                <a:picLocks noChangeAspect="1"/>
                              </pic:cNvPicPr>
                              <pic:nvPr/>
                            </pic:nvPicPr>
                            <pic:blipFill>
                              <a:blip r:embed="rId26"/>
                              <a:stretch/>
                            </pic:blipFill>
                            <pic:spPr bwMode="auto">
                              <a:xfrm>
                                <a:off x="0" y="0"/>
                                <a:ext cx="4620260" cy="4355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63.8pt;height:342.9pt;mso-wrap-distance-left:0.0pt;mso-wrap-distance-top:0.0pt;mso-wrap-distance-right:0.0pt;mso-wrap-distance-bottom:0.0pt;" stroked="f">
                      <v:path textboxrect="0,0,0,0"/>
                      <v:imagedata r:id="rId26" o:title=""/>
                    </v:shape>
                  </w:pict>
                </mc:Fallback>
              </mc:AlternateContent>
            </w:r>
            <w:r/>
          </w:p>
        </w:tc>
      </w:tr>
      <w:tr>
        <w:trPr>
          <w:trHeight w:val="2864"/>
        </w:trPr>
        <w:tc>
          <w:tcPr>
            <w:gridSpan w:val="2"/>
            <w:tcW w:w="705" w:type="dxa"/>
            <w:vAlign w:val="center"/>
            <w:vMerge w:val="restart"/>
            <w:textDirection w:val="lrTb"/>
            <w:noWrap w:val="false"/>
          </w:tcPr>
          <w:p>
            <w:pPr>
              <w:rPr>
                <w:rFonts w:eastAsia="方正仿宋_GBK"/>
                <w:color w:val="auto"/>
                <w:sz w:val="24"/>
                <w:szCs w:val="24"/>
                <w:highlight w:val="none"/>
              </w:rPr>
            </w:pPr>
            <w:r>
              <w:rPr>
                <w:rFonts w:hint="eastAsia" w:eastAsia="方正仿宋_GBK"/>
                <w:color w:val="auto"/>
                <w:sz w:val="24"/>
                <w:szCs w:val="24"/>
                <w:highlight w:val="none"/>
              </w:rPr>
              <w:t xml:space="preserve">产品3.录播室课桌椅</w:t>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可组合小组课桌</w:t>
            </w:r>
            <w:r/>
          </w:p>
        </w:tc>
        <w:tc>
          <w:tcPr>
            <w:tcW w:w="7553"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1.规格尺寸:单张外弦长800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*宽600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*高750</w:t>
            </w:r>
            <w:r>
              <w:rPr>
                <w:rFonts w:ascii="宋体" w:hAnsi="宋体" w:cs="宋体"/>
                <w:color w:val="auto"/>
                <w:sz w:val="24"/>
                <w:szCs w:val="24"/>
                <w:highlight w:val="none"/>
              </w:rPr>
              <w:t xml:space="preserve">mm</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2.工艺要求：</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(1)桌面：面材采用优质三聚氰胺浸胶工艺,使表面稳定性更好,层次感更优,耐污抗磨性更强,通过GB/T 15102浸渍胶膜纸饰面人造板表面理化性能要求;E0级刨花板,通过GB/T 39600-2021要求,甲醛释放量≤0.05mg/m³</w:t>
            </w:r>
            <w:r/>
          </w:p>
          <w:p>
            <w:pPr>
              <w:jc w:val="left"/>
              <w:rPr>
                <w:rFonts w:eastAsia="方正仿宋_GBK"/>
                <w:color w:val="auto"/>
                <w:sz w:val="24"/>
                <w:szCs w:val="24"/>
                <w:highlight w:val="none"/>
              </w:rPr>
            </w:pPr>
            <w:r>
              <w:rPr>
                <w:rFonts w:hint="eastAsia" w:ascii="宋体" w:hAnsi="宋体" w:cs="宋体"/>
                <w:color w:val="auto"/>
                <w:sz w:val="24"/>
                <w:szCs w:val="24"/>
                <w:highlight w:val="none"/>
              </w:rPr>
              <w:t xml:space="preserve">(2)桌架：Φ25*T1.5mm（不允许负偏离）Q235碳素钢管脚架，高速打砂除锈，表面喷涂烤漆处理，具有防腐，抗老化等性能。</w:t>
            </w:r>
            <w:r/>
          </w:p>
        </w:tc>
      </w:tr>
      <w:tr>
        <w:trPr>
          <w:trHeight w:val="90"/>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lang w:bidi="ar"/>
              </w:rPr>
              <w:t xml:space="preserve">可升降活动椅</w:t>
            </w:r>
            <w:r/>
          </w:p>
        </w:tc>
        <w:tc>
          <w:tcPr>
            <w:tcW w:w="7553" w:type="dxa"/>
            <w:vAlign w:val="center"/>
            <w:textDirection w:val="lrTb"/>
            <w:noWrap w:val="false"/>
          </w:tcPr>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1.规格尺寸：两脚间距长520mm*两脚间距宽520mm*升降高度780-930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（椅子颜色中标后再确定）</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2.工艺要求：</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(1)脚架采用厚1.5mm（不允许负偏离）钢管一体冲压</w:t>
            </w:r>
            <w:bookmarkStart w:id="182" w:name="OLE_LINK2"/>
            <w:r>
              <w:rPr>
                <w:rFonts w:hint="eastAsia" w:ascii="宋体" w:hAnsi="宋体" w:cs="宋体"/>
                <w:color w:val="auto"/>
                <w:sz w:val="24"/>
                <w:szCs w:val="24"/>
                <w:highlight w:val="none"/>
              </w:rPr>
              <w:t xml:space="preserve">或其他工艺</w:t>
            </w:r>
            <w:bookmarkEnd w:id="182"/>
            <w:r>
              <w:rPr>
                <w:rFonts w:hint="eastAsia" w:ascii="宋体" w:hAnsi="宋体" w:cs="宋体"/>
                <w:color w:val="auto"/>
                <w:sz w:val="24"/>
                <w:szCs w:val="24"/>
                <w:highlight w:val="none"/>
              </w:rPr>
              <w:t xml:space="preserve">成型，且牢固无松动；</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(2)可升降气压棒；</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(3)带PU静音万向轮；</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(5)靠背护腰曲线设计符合人体工学，全新PP材质，靠背带透气孔；</w:t>
            </w:r>
            <w:r/>
          </w:p>
          <w:p>
            <w:pPr>
              <w:rPr>
                <w:color w:val="auto"/>
                <w:sz w:val="24"/>
                <w:szCs w:val="24"/>
                <w:highlight w:val="none"/>
              </w:rPr>
            </w:pPr>
            <w:r>
              <w:rPr>
                <w:rFonts w:hint="eastAsia" w:ascii="宋体" w:hAnsi="宋体" w:cs="宋体"/>
                <w:color w:val="auto"/>
                <w:sz w:val="24"/>
                <w:szCs w:val="24"/>
                <w:highlight w:val="none"/>
              </w:rPr>
              <w:t xml:space="preserve">(6)座垫高密度海绵，优质弹力布，舒适透气。</w:t>
            </w:r>
            <w:r/>
          </w:p>
        </w:tc>
      </w:tr>
      <w:tr>
        <w:trPr>
          <w:trHeight w:val="1436"/>
        </w:trPr>
        <w:tc>
          <w:tcPr>
            <w:gridSpan w:val="2"/>
            <w:tcW w:w="705"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tcW w:w="1702" w:type="dxa"/>
            <w:vAlign w:val="center"/>
            <w:textDirection w:val="lrTb"/>
            <w:noWrap w:val="false"/>
          </w:tcPr>
          <w:p>
            <w:pPr>
              <w:rPr>
                <w:color w:val="auto"/>
                <w:sz w:val="24"/>
                <w:szCs w:val="24"/>
                <w:highlight w:val="none"/>
              </w:rPr>
            </w:pPr>
            <w:r>
              <w:rPr>
                <w:rFonts w:hint="eastAsia" w:ascii="宋体" w:hAnsi="宋体" w:cs="宋体"/>
                <w:color w:val="auto"/>
                <w:sz w:val="24"/>
                <w:szCs w:val="24"/>
                <w:highlight w:val="none"/>
                <w:lang w:bidi="ar"/>
              </w:rPr>
              <w:t xml:space="preserve">条形课桌（双人桌）</w:t>
            </w:r>
            <w:r/>
          </w:p>
        </w:tc>
        <w:tc>
          <w:tcPr>
            <w:tcW w:w="7553" w:type="dxa"/>
            <w:vAlign w:val="center"/>
            <w:textDirection w:val="lrTb"/>
            <w:noWrap w:val="false"/>
          </w:tcPr>
          <w:p>
            <w:pP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1.规格尺寸：宽1400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*长600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*高750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（面板颜色中标后再确定）</w:t>
            </w:r>
            <w:r/>
          </w:p>
          <w:p>
            <w:pP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2.工艺要求：</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(1)桌面采用国标E0级环保三聚氰胺饰面板；</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(2)人型脚：采用人字型全铝合金一体压铸成型或其他工艺成型，且牢固无松动；</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(3)面架：两侧托臂为冷轧钢板材质，可折叠；</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(4)置物层：规格与课桌相匹配；</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(5)挡板：采用厚0.7mm（不允许负偏离）冷轧钢板折边成型；</w:t>
            </w:r>
            <w:r/>
          </w:p>
          <w:p>
            <w:pPr>
              <w:jc w:val="left"/>
              <w:spacing w:after="0" w:line="240" w:lineRule="auto"/>
              <w:rPr>
                <w:rFonts w:eastAsia="方正仿宋_GBK"/>
                <w:color w:val="auto"/>
                <w:sz w:val="24"/>
                <w:szCs w:val="24"/>
                <w:highlight w:val="none"/>
              </w:rPr>
            </w:pPr>
            <w:r>
              <w:rPr>
                <w:rFonts w:hint="eastAsia" w:ascii="宋体" w:hAnsi="宋体" w:cs="宋体"/>
                <w:color w:val="auto"/>
                <w:sz w:val="24"/>
                <w:szCs w:val="24"/>
                <w:highlight w:val="none"/>
              </w:rPr>
              <w:t xml:space="preserve">(6)底部带活动优质刹车轮，360°可旋转（可换调节脚）。</w:t>
            </w:r>
            <w:r/>
          </w:p>
        </w:tc>
      </w:tr>
      <w:tr>
        <w:trPr>
          <w:trHeight w:val="1196"/>
        </w:trPr>
        <w:tc>
          <w:tcPr>
            <w:tcW w:w="690" w:type="dxa"/>
            <w:vAlign w:val="center"/>
            <w:vMerge w:val="restart"/>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W w:w="1717" w:type="dxa"/>
            <w:vAlign w:val="center"/>
            <w:textDirection w:val="lrTb"/>
            <w:noWrap w:val="false"/>
          </w:tcPr>
          <w:p>
            <w:pPr>
              <w:rPr>
                <w:rFonts w:eastAsia="方正仿宋_GBK"/>
                <w:color w:val="auto"/>
                <w:sz w:val="24"/>
                <w:szCs w:val="24"/>
                <w:highlight w:val="none"/>
              </w:rPr>
            </w:pPr>
            <w:r>
              <w:rPr>
                <w:rFonts w:hint="eastAsia" w:ascii="宋体" w:hAnsi="宋体" w:cs="宋体"/>
                <w:color w:val="auto"/>
                <w:sz w:val="24"/>
                <w:szCs w:val="24"/>
                <w:highlight w:val="none"/>
              </w:rPr>
              <w:t xml:space="preserve">活动椅</w:t>
            </w:r>
            <w:r/>
          </w:p>
        </w:tc>
        <w:tc>
          <w:tcPr>
            <w:tcW w:w="7553" w:type="dxa"/>
            <w:textDirection w:val="lrTb"/>
            <w:noWrap w:val="false"/>
          </w:tcPr>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1.规格尺寸：</w:t>
            </w:r>
            <w:r>
              <w:rPr>
                <w:rFonts w:hint="eastAsia" w:ascii="宋体" w:hAnsi="宋体" w:cs="宋体"/>
                <w:color w:val="auto"/>
                <w:sz w:val="24"/>
                <w:szCs w:val="24"/>
                <w:highlight w:val="none"/>
                <w:lang w:bidi="ar"/>
              </w:rPr>
              <w:t xml:space="preserve">座椅宽度460mm*两脚间长度530mm*椅背到地面总高855mm（椅子颜色中标后再确定）</w:t>
            </w:r>
            <w:r/>
          </w:p>
          <w:p>
            <w:pPr>
              <w:pStyle w:val="793"/>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2.工艺要求：</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(1)钢架采用Φ22mm*T1.5mm(不允许负偏离)圆管冷拉管，表面烤漆；</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(2)座背分体式设计，可自由搭配多种颜色，靠背护腰曲线设计符合人体工学，全新PP材质，靠背带透气孔；</w:t>
            </w:r>
            <w:r/>
          </w:p>
          <w:p>
            <w:pPr>
              <w:jc w:val="left"/>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(3)座垫高密度海绵，优质弹力布，舒适透气；</w:t>
            </w:r>
            <w:r/>
          </w:p>
          <w:p>
            <w:pPr>
              <w:rPr>
                <w:color w:val="auto"/>
                <w:sz w:val="24"/>
                <w:szCs w:val="24"/>
                <w:highlight w:val="none"/>
              </w:rPr>
            </w:pPr>
            <w:r>
              <w:rPr>
                <w:rFonts w:hint="eastAsia" w:ascii="宋体" w:hAnsi="宋体" w:cs="宋体"/>
                <w:color w:val="auto"/>
                <w:sz w:val="24"/>
                <w:szCs w:val="24"/>
                <w:highlight w:val="none"/>
              </w:rPr>
              <w:t xml:space="preserve">(4)可带PU静音万向轮，方便移动。</w:t>
            </w:r>
            <w:r/>
          </w:p>
        </w:tc>
      </w:tr>
      <w:tr>
        <w:trPr>
          <w:trHeight w:val="1196"/>
        </w:trPr>
        <w:tc>
          <w:tcPr>
            <w:tcW w:w="690" w:type="dxa"/>
            <w:vAlign w:val="center"/>
            <w:vMerge w:val="continue"/>
            <w:textDirection w:val="lrTb"/>
            <w:noWrap w:val="false"/>
          </w:tcPr>
          <w:p>
            <w:pPr>
              <w:rPr>
                <w:rFonts w:eastAsia="方正仿宋_GBK"/>
                <w:color w:val="auto"/>
                <w:sz w:val="24"/>
                <w:szCs w:val="24"/>
                <w:highlight w:val="none"/>
              </w:rPr>
            </w:pPr>
            <w:r>
              <w:rPr>
                <w:rFonts w:eastAsia="方正仿宋_GBK"/>
                <w:color w:val="auto"/>
                <w:sz w:val="24"/>
                <w:szCs w:val="24"/>
                <w:highlight w:val="none"/>
              </w:rPr>
            </w:r>
            <w:r/>
          </w:p>
        </w:tc>
        <w:tc>
          <w:tcPr>
            <w:gridSpan w:val="2"/>
            <w:tcW w:w="171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带书写板椅子</w:t>
            </w:r>
            <w:r/>
          </w:p>
        </w:tc>
        <w:tc>
          <w:tcPr>
            <w:tcW w:w="7553" w:type="dxa"/>
            <w:textDirection w:val="lrTb"/>
            <w:noWrap w:val="false"/>
          </w:tcPr>
          <w:p>
            <w:pP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1.规格尺寸:带书写板椅子桌板到椅背长度670mm*桌板到另一边扶手宽度800mm*椅背到地面高度高850</w:t>
            </w:r>
            <w:r>
              <w:rPr>
                <w:rFonts w:ascii="宋体" w:hAnsi="宋体" w:cs="宋体"/>
                <w:color w:val="auto"/>
                <w:sz w:val="24"/>
                <w:szCs w:val="24"/>
                <w:highlight w:val="none"/>
              </w:rPr>
              <w:t xml:space="preserve">mm</w:t>
            </w:r>
            <w:r>
              <w:rPr>
                <w:rFonts w:hint="eastAsia" w:ascii="宋体" w:hAnsi="宋体" w:cs="宋体"/>
                <w:color w:val="auto"/>
                <w:sz w:val="24"/>
                <w:szCs w:val="24"/>
                <w:highlight w:val="none"/>
              </w:rPr>
              <w:t xml:space="preserve">。</w:t>
            </w:r>
            <w:r/>
          </w:p>
          <w:p>
            <w:pPr>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2.工艺要求：</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(1)椅背：建议采用全新PP+15%玻纤背板，PP+30%玻纤一体化坐壳，使其结构受力稳定；</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(2)扶手：施加一定外力情况下无异常；</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(3)椅脚：采用Φ25*T2.0mm（不允许负偏离）Q235碳素钢管。表面采用烤漆工艺；承重不小于55kg，离座垫高度36mm；</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(4)写字板：建议520*335mm大面积折叠收纳写字板，板面可旋转，能够满足不同的书写姿势与坐姿，配备水杯架；</w:t>
            </w:r>
            <w:r/>
          </w:p>
          <w:p>
            <w:pPr>
              <w:spacing w:after="0" w:line="24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(5)书网：方便放置物品等，表面烤漆；</w:t>
            </w:r>
            <w:r/>
          </w:p>
          <w:p>
            <w:pPr>
              <w:jc w:val="left"/>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(6)脚轮：Φ50mm（不允许负偏离</w:t>
            </w:r>
            <w:r>
              <w:rPr>
                <w:rFonts w:hint="eastAsia" w:ascii="方正仿宋_GBK" w:hAnsi="方正仿宋_GBK" w:eastAsia="方正仿宋_GBK" w:cs="方正仿宋_GBK"/>
                <w:color w:val="auto"/>
                <w:sz w:val="24"/>
                <w:szCs w:val="24"/>
                <w:highlight w:val="none"/>
              </w:rPr>
              <w:t xml:space="preserve">）</w:t>
            </w:r>
            <w:r>
              <w:rPr>
                <w:rFonts w:hint="eastAsia" w:ascii="宋体" w:hAnsi="宋体" w:cs="宋体"/>
                <w:color w:val="auto"/>
                <w:sz w:val="24"/>
                <w:szCs w:val="24"/>
                <w:highlight w:val="none"/>
              </w:rPr>
              <w:t xml:space="preserve">PU尼龙静音轮。</w:t>
            </w:r>
            <w:r/>
          </w:p>
        </w:tc>
      </w:tr>
    </w:tbl>
    <w:tbl>
      <w:tblPr>
        <w:tblStyle w:val="831"/>
        <w:tblpPr w:horzAnchor="text" w:tblpX="10934" w:vertAnchor="text" w:tblpY="21921" w:leftFromText="180" w:topFromText="0" w:rightFromText="180" w:bottomFromText="0"/>
        <w:tblW w:w="1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8"/>
      </w:tblGrid>
      <w:tr>
        <w:trPr>
          <w:trHeight w:val="30"/>
        </w:trPr>
        <w:tc>
          <w:tcPr>
            <w:tcW w:w="157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rPr>
            </w:pPr>
            <w:r>
              <w:rPr>
                <w:rFonts w:hint="eastAsia" w:cs="仿宋" w:asciiTheme="minorEastAsia" w:hAnsiTheme="minorEastAsia" w:eastAsiaTheme="minorEastAsia"/>
                <w:bCs/>
                <w:color w:val="auto"/>
                <w:sz w:val="28"/>
                <w:szCs w:val="28"/>
                <w:highlight w:val="none"/>
              </w:rPr>
            </w:r>
            <w:r/>
          </w:p>
        </w:tc>
      </w:tr>
    </w:tbl>
    <w:tbl>
      <w:tblPr>
        <w:tblStyle w:val="831"/>
        <w:tblpPr w:horzAnchor="text" w:tblpX="10934" w:vertAnchor="text" w:tblpY="63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tblGrid>
      <w:tr>
        <w:trPr>
          <w:trHeight w:val="30"/>
        </w:trPr>
        <w:tc>
          <w:tcPr>
            <w:tcW w:w="738" w:type="dxa"/>
            <w:textDirection w:val="lrTb"/>
            <w:noWrap w:val="false"/>
          </w:tcPr>
          <w:p>
            <w:pPr>
              <w:spacing w:line="360" w:lineRule="auto"/>
              <w:rPr>
                <w:rFonts w:hint="eastAsia" w:cs="仿宋" w:asciiTheme="minorEastAsia" w:hAnsiTheme="minorEastAsia" w:eastAsiaTheme="minorEastAsia"/>
                <w:bCs/>
                <w:color w:val="auto"/>
                <w:sz w:val="28"/>
                <w:szCs w:val="28"/>
                <w:highlight w:val="none"/>
              </w:rPr>
            </w:pPr>
            <w:r>
              <w:rPr>
                <w:rFonts w:hint="eastAsia" w:cs="仿宋" w:asciiTheme="minorEastAsia" w:hAnsiTheme="minorEastAsia" w:eastAsiaTheme="minorEastAsia"/>
                <w:bCs/>
                <w:color w:val="auto"/>
                <w:sz w:val="28"/>
                <w:szCs w:val="28"/>
                <w:highlight w:val="none"/>
              </w:rPr>
            </w:r>
            <w:r/>
          </w:p>
        </w:tc>
      </w:tr>
    </w:tbl>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numPr>
          <w:ilvl w:val="0"/>
          <w:numId w:val="8"/>
        </w:num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本项目除有明确相关偏离要求的技术参数外，其余产品的规格尺寸均为参考数值。投标人在符合采购人的实际需求的基础上，可对产品进行优化设计。</w:t>
      </w:r>
      <w:r/>
    </w:p>
    <w:p>
      <w:pPr>
        <w:numPr>
          <w:ilvl w:val="0"/>
          <w:numId w:val="8"/>
        </w:numPr>
        <w:ind w:firstLine="482"/>
        <w:spacing w:line="360" w:lineRule="auto"/>
        <w:rPr>
          <w:color w:val="auto"/>
          <w:highlight w:val="none"/>
        </w:rPr>
      </w:pPr>
      <w:r>
        <w:rPr>
          <w:rFonts w:hint="eastAsia" w:ascii="宋体" w:hAnsi="宋体" w:cs="宋体"/>
          <w:b/>
          <w:color w:val="auto"/>
          <w:sz w:val="24"/>
          <w:szCs w:val="24"/>
          <w:highlight w:val="none"/>
        </w:rPr>
        <w:t xml:space="preserve">中标供应商与采购人签订合同后一周内提供符合采购人实质性需求的样品或经过优化设计的样品，同时提供优化说明及所投产品的实际规格尺寸，待采购人确认后批量生产。安装方案必须采购人认可后方可实施。低于样品参数要求的，适用相关违约责任条款。</w:t>
      </w:r>
      <w:r/>
    </w:p>
    <w:p>
      <w:pPr>
        <w:rPr>
          <w:color w:val="auto"/>
          <w:highlight w:val="none"/>
        </w:rPr>
      </w:pPr>
      <w:r>
        <w:rPr>
          <w:color w:val="auto"/>
          <w:highlight w:val="none"/>
        </w:rPr>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t xml:space="preserve">三、商务要求</w:t>
      </w:r>
      <w:r/>
    </w:p>
    <w:p>
      <w:pPr>
        <w:ind w:firstLine="560"/>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（一）采购标的数量、采购项目交付或者实施的时间和地点</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1.采购标的清单及数量：详细内容见第四章采购需求</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2.交货期（服务时间）</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投标人</w:t>
      </w:r>
      <w:r>
        <w:rPr>
          <w:rFonts w:eastAsia="方正仿宋_GBK"/>
          <w:bCs/>
          <w:color w:val="auto"/>
          <w:sz w:val="28"/>
          <w:szCs w:val="28"/>
          <w:highlight w:val="none"/>
        </w:rPr>
        <w:t xml:space="preserve">须在签订合同前，与采购人明确生产和安装节点进度。</w:t>
      </w:r>
      <w:r/>
    </w:p>
    <w:p>
      <w:pPr>
        <w:contextualSpacing/>
        <w:ind w:firstLine="560"/>
        <w:spacing w:line="360" w:lineRule="auto"/>
        <w:rPr>
          <w:rFonts w:eastAsia="方正仿宋_GBK"/>
          <w:color w:val="auto"/>
          <w:sz w:val="28"/>
          <w:szCs w:val="28"/>
          <w:highlight w:val="none"/>
        </w:rPr>
      </w:pPr>
      <w:r>
        <w:rPr>
          <w:rFonts w:eastAsia="方正仿宋_GBK"/>
          <w:color w:val="auto"/>
          <w:sz w:val="28"/>
          <w:szCs w:val="28"/>
          <w:highlight w:val="none"/>
        </w:rPr>
        <w:t xml:space="preserve">本项目采用分批生产、供货及安装的方式，中标供应商须服从采购人分批供货进度安排。具体要求如下：</w:t>
      </w:r>
      <w:r/>
    </w:p>
    <w:p>
      <w:pPr>
        <w:contextualSpacing/>
        <w:ind w:firstLine="560"/>
        <w:spacing w:line="360" w:lineRule="auto"/>
        <w:rPr>
          <w:rFonts w:eastAsia="方正仿宋_GBK"/>
          <w:bCs/>
          <w:color w:val="auto"/>
          <w:sz w:val="28"/>
          <w:szCs w:val="28"/>
          <w:highlight w:val="none"/>
        </w:rPr>
      </w:pPr>
      <w:r>
        <w:rPr>
          <w:rFonts w:hint="eastAsia" w:eastAsia="方正仿宋_GBK"/>
          <w:bCs/>
          <w:color w:val="auto"/>
          <w:sz w:val="28"/>
          <w:szCs w:val="28"/>
          <w:highlight w:val="none"/>
        </w:rPr>
        <w:t xml:space="preserve">（1）</w:t>
      </w:r>
      <w:r>
        <w:rPr>
          <w:rFonts w:eastAsia="方正仿宋_GBK"/>
          <w:bCs/>
          <w:color w:val="auto"/>
          <w:sz w:val="28"/>
          <w:szCs w:val="28"/>
          <w:highlight w:val="none"/>
        </w:rPr>
        <w:t xml:space="preserve">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60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天内完成第1批次供货并安装至指定位置，</w:t>
      </w:r>
      <w:r>
        <w:rPr>
          <w:rFonts w:hint="eastAsia" w:eastAsia="方正仿宋_GBK"/>
          <w:bCs/>
          <w:color w:val="auto"/>
          <w:sz w:val="28"/>
          <w:szCs w:val="28"/>
          <w:highlight w:val="none"/>
        </w:rPr>
        <w:t xml:space="preserve">货物及数量为联排桌椅1000张；实木凳</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2468张</w:t>
      </w:r>
      <w:r>
        <w:rPr>
          <w:rFonts w:eastAsia="方正仿宋_GBK"/>
          <w:bCs/>
          <w:color w:val="auto"/>
          <w:sz w:val="28"/>
          <w:szCs w:val="28"/>
          <w:highlight w:val="none"/>
        </w:rPr>
        <w:t xml:space="preserve">； </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（2）合同签订后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90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天内完成第2批次供货并安装至指定位置，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联排桌椅3500张</w:t>
      </w:r>
      <w:r>
        <w:rPr>
          <w:rFonts w:eastAsia="方正仿宋_GBK"/>
          <w:bCs/>
          <w:color w:val="auto"/>
          <w:sz w:val="28"/>
          <w:szCs w:val="28"/>
          <w:highlight w:val="none"/>
        </w:rPr>
        <w:t xml:space="preserve">；</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（3）合同签订后</w:t>
      </w:r>
      <w:r>
        <w:rPr>
          <w:rFonts w:eastAsia="方正仿宋_GBK"/>
          <w:bCs/>
          <w:color w:val="auto"/>
          <w:sz w:val="28"/>
          <w:szCs w:val="28"/>
          <w:highlight w:val="none"/>
          <w:u w:val="single"/>
        </w:rPr>
        <w:t xml:space="preserve"> </w:t>
      </w:r>
      <w:r>
        <w:rPr>
          <w:rFonts w:hint="eastAsia" w:eastAsia="方正仿宋_GBK"/>
          <w:bCs/>
          <w:color w:val="auto"/>
          <w:sz w:val="28"/>
          <w:szCs w:val="28"/>
          <w:highlight w:val="none"/>
          <w:u w:val="single"/>
        </w:rPr>
        <w:t xml:space="preserve"> 120</w:t>
      </w:r>
      <w:r>
        <w:rPr>
          <w:rFonts w:eastAsia="方正仿宋_GBK"/>
          <w:bCs/>
          <w:color w:val="auto"/>
          <w:sz w:val="28"/>
          <w:szCs w:val="28"/>
          <w:highlight w:val="none"/>
          <w:u w:val="single"/>
        </w:rPr>
        <w:t xml:space="preserve">  </w:t>
      </w:r>
      <w:r>
        <w:rPr>
          <w:rFonts w:eastAsia="方正仿宋_GBK"/>
          <w:bCs/>
          <w:color w:val="auto"/>
          <w:sz w:val="28"/>
          <w:szCs w:val="28"/>
          <w:highlight w:val="none"/>
        </w:rPr>
        <w:t xml:space="preserve">天内，完成第3批次供货并安装至指定位置，</w:t>
      </w:r>
      <w:r>
        <w:rPr>
          <w:rFonts w:hint="eastAsia" w:eastAsia="方正仿宋_GBK"/>
          <w:bCs/>
          <w:color w:val="auto"/>
          <w:sz w:val="28"/>
          <w:szCs w:val="28"/>
          <w:highlight w:val="none"/>
        </w:rPr>
        <w:t xml:space="preserve">货物及</w:t>
      </w:r>
      <w:r>
        <w:rPr>
          <w:rFonts w:eastAsia="方正仿宋_GBK"/>
          <w:bCs/>
          <w:color w:val="auto"/>
          <w:sz w:val="28"/>
          <w:szCs w:val="28"/>
          <w:highlight w:val="none"/>
        </w:rPr>
        <w:t xml:space="preserve">数量为</w:t>
      </w:r>
      <w:r>
        <w:rPr>
          <w:rFonts w:hint="eastAsia" w:eastAsia="方正仿宋_GBK"/>
          <w:bCs/>
          <w:color w:val="auto"/>
          <w:sz w:val="28"/>
          <w:szCs w:val="28"/>
          <w:highlight w:val="none"/>
        </w:rPr>
        <w:t xml:space="preserve">联排桌椅2954张；录播室所有的活动桌椅数量。</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（4）以上日期只可提前，不可延后。如有延后，将适用相关违约责任条款（违约责任条款的具体规定详见采购文件）。</w:t>
      </w:r>
      <w:r/>
    </w:p>
    <w:p>
      <w:pPr>
        <w:contextualSpacing/>
        <w:ind w:firstLine="560"/>
        <w:spacing w:line="360" w:lineRule="auto"/>
        <w:rPr>
          <w:rFonts w:eastAsia="方正仿宋_GBK"/>
          <w:bCs/>
          <w:color w:val="auto"/>
          <w:sz w:val="28"/>
          <w:szCs w:val="28"/>
          <w:highlight w:val="none"/>
        </w:rPr>
      </w:pPr>
      <w:r>
        <w:rPr>
          <w:rFonts w:eastAsia="方正仿宋_GBK"/>
          <w:bCs/>
          <w:color w:val="auto"/>
          <w:sz w:val="28"/>
          <w:szCs w:val="28"/>
          <w:highlight w:val="none"/>
        </w:rPr>
        <w:t xml:space="preserve">3.交货（服务）地点：南通职业大学钟秀校区指定地点。</w:t>
      </w:r>
      <w:r/>
    </w:p>
    <w:p>
      <w:pPr>
        <w:numPr>
          <w:ilvl w:val="0"/>
          <w:numId w:val="9"/>
        </w:numPr>
        <w:ind w:firstLine="562"/>
        <w:spacing w:before="120" w:after="120" w:line="360" w:lineRule="auto"/>
        <w:tabs>
          <w:tab w:val="left" w:pos="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采购标的需满足的服务标准、期限、效率等要求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按照采购文件要求，在规定时间内签订合同、分批供货并安装到位，确保可正常使用。</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在项目生产安装调试中必须严格遵守相关的法规、规范和现场施工单位的规定，督促现场施工人员规范操作，采取严格有力的安全防护措施，做好安全防护工作，确保施工安装的人身安全，相关专业技术岗位必须持证上岗。</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在严格遵守参数规格的基础上，可对产品进行优化设计。低于</w:t>
      </w:r>
      <w:r>
        <w:rPr>
          <w:rFonts w:hint="eastAsia" w:eastAsia="仿宋"/>
          <w:color w:val="auto"/>
          <w:sz w:val="28"/>
          <w:szCs w:val="28"/>
          <w:highlight w:val="none"/>
        </w:rPr>
        <w:t xml:space="preserve">样品</w:t>
      </w:r>
      <w:r>
        <w:rPr>
          <w:rFonts w:eastAsia="仿宋"/>
          <w:color w:val="auto"/>
          <w:sz w:val="28"/>
          <w:szCs w:val="28"/>
          <w:highlight w:val="none"/>
        </w:rPr>
        <w:t xml:space="preserve">参数要求的，适用相关违约责任条款（违约责任条款的具体规定详见采购文件）。</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须制定详细的项目实施方案。方案中至少应包含资金安排、生产设备情况、原材料准备和用料明细、生产技术工艺、生产过程控制、生产进度安排、供货安装承诺、验货方案、应急预案等。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制定详细的售后服务保障方案。方案中至少应包含售后服务承诺及保修细则、服务质量保证标准、售后服务人员和工具配备、现场服务措施、故障解决能力、应急服务响应方案、优惠条件承诺及服务体系说明。在验收交付使用后</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须定期派人员跟踪服务，及时处理使用过程中出现的问题。免费质保期限（自交货并验收合格之日起计）为</w:t>
      </w:r>
      <w:r>
        <w:rPr>
          <w:rFonts w:hint="eastAsia" w:eastAsia="仿宋"/>
          <w:color w:val="auto"/>
          <w:sz w:val="28"/>
          <w:szCs w:val="28"/>
          <w:highlight w:val="none"/>
        </w:rPr>
        <w:t xml:space="preserve">5</w:t>
      </w:r>
      <w:r>
        <w:rPr>
          <w:rFonts w:eastAsia="仿宋"/>
          <w:color w:val="auto"/>
          <w:sz w:val="28"/>
          <w:szCs w:val="28"/>
          <w:highlight w:val="none"/>
        </w:rPr>
        <w:t xml:space="preserve">年，在免费质保期内，每年派人免费维保产品至少一次。免费质保期内主要配件和部件发生非人为原因引起的损坏，供应商应及时提供免费更换或修理。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4.为保证采购人权益，</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须接受采购人的生产过程监控监督。</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须完全响应采购人的合理要求，无法提供相关材料或有不符合相关要求的，将适用相关违约责任条款。过程监控监督方法和内容包括但不限于：</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（1）现场查看原材料进货合同和发票（</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须提供原材料相应证明材料，材料包括但不限于原材料采购证明，生产单、下料单等）；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（2）现场查看产品加工工艺及质量是否符合采购文件要求；</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（3）抽检产品原材料或成品，</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须根据要求提供相应检验检测报告作为依据（具体要求参见采购标的验收标准）；</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（4）确认生产进度安排，督促完成生产、供货和安装计划（</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须提供的证明材料包括但不限于投标响应文件中的生产进度表，原材料、人员、设备调度保障情况等）；</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在发货前须通知采购人进行预验收。预验收由采购人组织不少于3名</w:t>
      </w:r>
      <w:r>
        <w:rPr>
          <w:rFonts w:hint="eastAsia" w:eastAsia="仿宋"/>
          <w:color w:val="auto"/>
          <w:sz w:val="28"/>
          <w:szCs w:val="28"/>
          <w:highlight w:val="none"/>
        </w:rPr>
        <w:t xml:space="preserve">人员</w:t>
      </w:r>
      <w:r>
        <w:rPr>
          <w:rFonts w:eastAsia="仿宋"/>
          <w:color w:val="auto"/>
          <w:sz w:val="28"/>
          <w:szCs w:val="28"/>
          <w:highlight w:val="none"/>
        </w:rPr>
        <w:t xml:space="preserve">进行，预验收标准参考采购标的验收标准的部分条款。</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5.</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须在第一批供货并安装到位后15天内，提供该批次</w:t>
      </w:r>
      <w:r>
        <w:rPr>
          <w:rFonts w:hint="eastAsia" w:eastAsia="仿宋"/>
          <w:color w:val="auto"/>
          <w:sz w:val="28"/>
          <w:szCs w:val="28"/>
          <w:highlight w:val="none"/>
        </w:rPr>
        <w:t xml:space="preserve">核心</w:t>
      </w:r>
      <w:r>
        <w:rPr>
          <w:rFonts w:eastAsia="仿宋"/>
          <w:color w:val="auto"/>
          <w:sz w:val="28"/>
          <w:szCs w:val="28"/>
          <w:highlight w:val="none"/>
        </w:rPr>
        <w:t xml:space="preserve">产品符合标的验收标准的原材料和成品抽样检验检测报告。</w:t>
      </w:r>
      <w:r>
        <w:rPr>
          <w:rFonts w:hint="eastAsia" w:eastAsia="仿宋"/>
          <w:color w:val="auto"/>
          <w:sz w:val="28"/>
          <w:szCs w:val="28"/>
          <w:highlight w:val="none"/>
        </w:rPr>
        <w:t xml:space="preserve">其余产品采购人随机抽检。</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6.报价要求：按招标文件附件格式（投标分项报价表）要求，对所有产品分别报价。报价包括不限于满足本项目采购需求中生产制作、包装运输、安装调试等费用，以及税费等完成本项目可能发生的所有费用。</w:t>
      </w:r>
      <w:r/>
    </w:p>
    <w:p>
      <w:pPr>
        <w:ind w:firstLine="562"/>
        <w:spacing w:line="360" w:lineRule="auto"/>
        <w:rPr>
          <w:rFonts w:eastAsia="仿宋"/>
          <w:color w:val="auto"/>
          <w:sz w:val="28"/>
          <w:szCs w:val="28"/>
          <w:highlight w:val="none"/>
        </w:rPr>
      </w:pPr>
      <w:r>
        <w:rPr>
          <w:rFonts w:eastAsia="仿宋"/>
          <w:color w:val="auto"/>
          <w:sz w:val="28"/>
          <w:szCs w:val="28"/>
          <w:highlight w:val="none"/>
        </w:rPr>
        <w:t xml:space="preserve">7.</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须保证本项目核心产品是在</w:t>
      </w:r>
      <w:r>
        <w:rPr>
          <w:rFonts w:hint="eastAsia" w:eastAsia="方正仿宋_GBK"/>
          <w:bCs/>
          <w:color w:val="auto"/>
          <w:sz w:val="28"/>
          <w:szCs w:val="28"/>
          <w:highlight w:val="none"/>
        </w:rPr>
        <w:t xml:space="preserve">投标人</w:t>
      </w:r>
      <w:r>
        <w:rPr>
          <w:rFonts w:eastAsia="仿宋"/>
          <w:color w:val="auto"/>
          <w:sz w:val="28"/>
          <w:szCs w:val="28"/>
          <w:highlight w:val="none"/>
        </w:rPr>
        <w:t xml:space="preserve">提交投标文件中指定的生产基地生产制造的，否则视为违约，适用有关违约责任条款，采购人亦有权终止合同，并没收全额履约保证金。</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（三）采购标的的验收标准；</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投标人完成供货后，</w:t>
      </w:r>
      <w:r>
        <w:rPr>
          <w:rFonts w:eastAsia="方正仿宋_GBK"/>
          <w:color w:val="auto"/>
          <w:sz w:val="28"/>
          <w:szCs w:val="28"/>
          <w:highlight w:val="none"/>
        </w:rPr>
        <w:t xml:space="preserve">采购人</w:t>
      </w:r>
      <w:r>
        <w:rPr>
          <w:rFonts w:hint="eastAsia" w:eastAsia="方正仿宋_GBK"/>
          <w:color w:val="auto"/>
          <w:sz w:val="28"/>
          <w:szCs w:val="28"/>
          <w:highlight w:val="none"/>
        </w:rPr>
        <w:t xml:space="preserve">按认可</w:t>
      </w:r>
      <w:r>
        <w:rPr>
          <w:rFonts w:eastAsia="方正仿宋_GBK"/>
          <w:color w:val="auto"/>
          <w:sz w:val="28"/>
          <w:szCs w:val="28"/>
          <w:highlight w:val="none"/>
        </w:rPr>
        <w:t xml:space="preserve">的样品进行验收。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所</w:t>
      </w:r>
      <w:r>
        <w:rPr>
          <w:rFonts w:hint="eastAsia" w:eastAsia="方正仿宋_GBK"/>
          <w:color w:val="auto"/>
          <w:sz w:val="28"/>
          <w:szCs w:val="28"/>
          <w:highlight w:val="none"/>
        </w:rPr>
        <w:t xml:space="preserve">投</w:t>
      </w:r>
      <w:r>
        <w:rPr>
          <w:rFonts w:eastAsia="方正仿宋_GBK"/>
          <w:color w:val="auto"/>
          <w:sz w:val="28"/>
          <w:szCs w:val="28"/>
          <w:highlight w:val="none"/>
        </w:rPr>
        <w:t xml:space="preserve">产品应按国家相关标准或行业标准进行设计和制造。须提供证明所提供货物与采购文件的要求相一致的文件（可以但不限于手册、图纸、图文资料和数据等）。</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为生产相应批次产品所使用的原材料及产品须符合国家环保要求。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须完整提供该项目相应批次产品的物料清单（至少包括木材、油漆、金属配件）、材料产地证明、供货合同、发票及技术说明文件等原始材料复印件并加盖公章，否则适用相关违约责任条款。</w:t>
      </w:r>
      <w:r/>
    </w:p>
    <w:p>
      <w:pPr>
        <w:ind w:firstLine="562"/>
        <w:spacing w:line="360" w:lineRule="auto"/>
        <w:rPr>
          <w:rFonts w:eastAsia="方正仿宋_GBK"/>
          <w:color w:val="auto"/>
          <w:sz w:val="28"/>
          <w:szCs w:val="28"/>
          <w:highlight w:val="none"/>
        </w:rPr>
      </w:pP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还须提供拥有（自有或者租赁均可）的大型生产设备清单及证明文件。</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安装完毕后，须委托具有相关资质的权威检测机构各进行一次室内环境空气质量检验检测，确保产品环保质量达到国家有关标准。室内环境空气质量检验检测项目中应至少含“甲醛”“苯类”“TVOC”等。所产生的的费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5.在接到</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以书面形式提出的各批次验收申请后，采购人在15个工作日内组织相关人员进行验收，必要时可以邀请交易中心、质检等权威部门参与验收。验收以市级及以上质检部门出具的符合采购要求的抽样检验检测报告作为依据。</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6.采购人在验收时，每批次至少随机抽取1件成品，根据采购文件要求对抽检产品由市级及以上质检部门进行检验检测。若检测合格，即视为通过验收的抽样检测环节。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（1）若抽检的某个成品检测不合格，</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须在约定的相应批次供货周期内调拨合格产品，对该批次产品进行更换，且费用由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负责，同时启用相关违约责任条款。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更换合格产品后10个工作日内，采购人再次随机对不合格产品所在批次的产品扩大抽取范围与数量（含更换后产品），随机抽取不少于2件进行破坏性送检。如检测仍不符合要求，</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需继续更换，继续启用相关违约责任条款。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（3）进行破坏性检验检测的产品，</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必须负责免费补齐，并送至采购人指定地点。</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（4）不论检测是否合格，验收过程中产生的相关费用和抽检样品均由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7.关于抽样检验检测报告的要求。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须提供抽样检验检测报告的场景：</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7.1.1原材料抽检报告。采购人在进行过程监控监督时，可以要求</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在完成</w:t>
      </w:r>
      <w:r>
        <w:rPr>
          <w:rFonts w:hint="eastAsia" w:eastAsia="方正仿宋_GBK"/>
          <w:color w:val="auto"/>
          <w:sz w:val="28"/>
          <w:szCs w:val="28"/>
          <w:highlight w:val="none"/>
        </w:rPr>
        <w:t xml:space="preserve">每</w:t>
      </w:r>
      <w:r>
        <w:rPr>
          <w:rFonts w:eastAsia="方正仿宋_GBK"/>
          <w:color w:val="auto"/>
          <w:sz w:val="28"/>
          <w:szCs w:val="28"/>
          <w:highlight w:val="none"/>
        </w:rPr>
        <w:t xml:space="preserve">批</w:t>
      </w:r>
      <w:r>
        <w:rPr>
          <w:rFonts w:hint="eastAsia" w:eastAsia="方正仿宋_GBK"/>
          <w:color w:val="auto"/>
          <w:sz w:val="28"/>
          <w:szCs w:val="28"/>
          <w:highlight w:val="none"/>
        </w:rPr>
        <w:t xml:space="preserve">次</w:t>
      </w:r>
      <w:r>
        <w:rPr>
          <w:rFonts w:eastAsia="方正仿宋_GBK"/>
          <w:color w:val="auto"/>
          <w:sz w:val="28"/>
          <w:szCs w:val="28"/>
          <w:highlight w:val="none"/>
        </w:rPr>
        <w:t xml:space="preserve">供货并安装到位后，15天内</w:t>
      </w:r>
      <w:r>
        <w:rPr>
          <w:rFonts w:hint="eastAsia" w:eastAsia="方正仿宋_GBK"/>
          <w:color w:val="auto"/>
          <w:sz w:val="28"/>
          <w:szCs w:val="28"/>
          <w:highlight w:val="none"/>
        </w:rPr>
        <w:t xml:space="preserve">采购人可要求其</w:t>
      </w:r>
      <w:r>
        <w:rPr>
          <w:rFonts w:eastAsia="方正仿宋_GBK"/>
          <w:color w:val="auto"/>
          <w:sz w:val="28"/>
          <w:szCs w:val="28"/>
          <w:highlight w:val="none"/>
        </w:rPr>
        <w:t xml:space="preserve">提供该批次产品符合标的验收标准的原材料和成品抽样检验检测报告</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报告须实施检测的质检部门出具。</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7.1.2成品抽检报告。采购人在进行过程监控监督时，可以要求</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提供；</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在完成相应批次供货并安装到位后，15天内必须提供该批次产品符合标的验收标准的成品抽样检验检测报告</w:t>
      </w:r>
      <w:r>
        <w:rPr>
          <w:rFonts w:hint="eastAsia" w:eastAsia="方正仿宋_GBK"/>
          <w:color w:val="auto"/>
          <w:sz w:val="28"/>
          <w:szCs w:val="28"/>
          <w:highlight w:val="none"/>
        </w:rPr>
        <w:t xml:space="preserve">，</w:t>
      </w:r>
      <w:r>
        <w:rPr>
          <w:rFonts w:eastAsia="方正仿宋_GBK"/>
          <w:color w:val="auto"/>
          <w:sz w:val="28"/>
          <w:szCs w:val="28"/>
          <w:highlight w:val="none"/>
        </w:rPr>
        <w:t xml:space="preserve">报告须实施检测的质检部门出具。</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7.3</w:t>
      </w:r>
      <w:r>
        <w:rPr>
          <w:rFonts w:hint="eastAsia" w:eastAsia="方正仿宋_GBK"/>
          <w:color w:val="auto"/>
          <w:sz w:val="28"/>
          <w:szCs w:val="28"/>
          <w:highlight w:val="none"/>
        </w:rPr>
        <w:t xml:space="preserve">投标人所投产品</w:t>
      </w:r>
      <w:r>
        <w:rPr>
          <w:rFonts w:eastAsia="方正仿宋_GBK"/>
          <w:color w:val="auto"/>
          <w:sz w:val="28"/>
          <w:szCs w:val="28"/>
          <w:highlight w:val="none"/>
        </w:rPr>
        <w:t xml:space="preserve">成品的抽样检验检测报告（检验检测结果须符合采购文件有关要求）。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成品抽样检验检测报告的各项指标须至少包含但不限于：主要尺寸及偏差，形状和位置公差，外观要求，表面理化性能要求，金属配件耐腐蚀性要求，力学性能要求，安全性能要求，有害物质含量等。</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7.4抽样检验检测报告须为相应批次产品的原材料及相应批次成品（抽检样品必须由采购人现场确认）的检验检测报告；报告须由</w:t>
      </w:r>
      <w:r>
        <w:rPr>
          <w:rFonts w:eastAsia="方正仿宋_GBK"/>
          <w:color w:val="auto"/>
          <w:sz w:val="28"/>
          <w:szCs w:val="28"/>
          <w:highlight w:val="none"/>
        </w:rPr>
        <w:t xml:space="preserve">市级及以上质检部门</w:t>
      </w:r>
      <w:r>
        <w:rPr>
          <w:rFonts w:eastAsia="方正仿宋_GBK"/>
          <w:color w:val="auto"/>
          <w:sz w:val="28"/>
          <w:szCs w:val="28"/>
          <w:highlight w:val="none"/>
        </w:rPr>
        <w:t xml:space="preserve">出具；报告上须体现“抽样”字样；委托检测单位须与投标人或</w:t>
      </w:r>
      <w:r>
        <w:rPr>
          <w:rFonts w:hint="eastAsia" w:eastAsia="方正仿宋_GBK"/>
          <w:color w:val="auto"/>
          <w:sz w:val="28"/>
          <w:szCs w:val="28"/>
          <w:highlight w:val="none"/>
        </w:rPr>
        <w:t xml:space="preserve">制造商</w:t>
      </w:r>
      <w:r>
        <w:rPr>
          <w:rFonts w:eastAsia="方正仿宋_GBK"/>
          <w:color w:val="auto"/>
          <w:sz w:val="28"/>
          <w:szCs w:val="28"/>
          <w:highlight w:val="none"/>
        </w:rPr>
        <w:t xml:space="preserve">名称一致。报告不满足以上要求或报告内容不全的，项目不得验收。因检验检测所产生的费用由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7.5检验检测报告结果须符合相关国家标准的要求。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8.验收合格，采购人出具验收报告，作为支付货款的依据。验收不合格，适用相关违约责任条款。</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9.采购方对</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进行过程监控监督，如需对原材料或成品进行抽检时，适用以上验收标准，所产生的费用由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承担。</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（四）采购标的的其他技术、服务等要求；</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应安排具有相应专业技能和经验的技术工人进行现场安装调试等所有事项，并做好相关安全、文明施工措施，承担整个供货安装及质保和售后服务期间的所有安全责任。</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须自交货并验收合格之日起，提供不少于</w:t>
      </w:r>
      <w:r>
        <w:rPr>
          <w:rFonts w:hint="eastAsia" w:eastAsia="方正仿宋_GBK"/>
          <w:color w:val="auto"/>
          <w:sz w:val="28"/>
          <w:szCs w:val="28"/>
          <w:highlight w:val="none"/>
        </w:rPr>
        <w:t xml:space="preserve">5</w:t>
      </w:r>
      <w:r>
        <w:rPr>
          <w:rFonts w:eastAsia="方正仿宋_GBK"/>
          <w:color w:val="auto"/>
          <w:sz w:val="28"/>
          <w:szCs w:val="28"/>
          <w:highlight w:val="none"/>
        </w:rPr>
        <w:t xml:space="preserve">年的免费质量保证期。</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（1）对达不到质量要求的，</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须包退、包换，所发生的费用及损失全部由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自行承担。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（2）质保期内，</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须配备充足的主辅料，对非人为原因造成的质量问题，进行无偿质量维修和预防性维护。</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（3）质保期内，</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接到采购方产品出现问题的通知后，除不可抗力和采购方责任外，须提供售后服务2小时内响应，12小时内到达现场进行处理，24小时不能解决问题（完成维修维保）的，必须提供相应产品给予替代使用，否则采购人将自行采取必要的措施，由此产生的风险和费用由</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承担。</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（4）质保期外，</w:t>
      </w:r>
      <w:r>
        <w:rPr>
          <w:rFonts w:hint="eastAsia" w:eastAsia="方正仿宋_GBK"/>
          <w:bCs/>
          <w:color w:val="auto"/>
          <w:sz w:val="28"/>
          <w:szCs w:val="28"/>
          <w:highlight w:val="none"/>
        </w:rPr>
        <w:t xml:space="preserve">投标人</w:t>
      </w:r>
      <w:r>
        <w:rPr>
          <w:rFonts w:eastAsia="方正仿宋_GBK"/>
          <w:color w:val="auto"/>
          <w:sz w:val="28"/>
          <w:szCs w:val="28"/>
          <w:highlight w:val="none"/>
        </w:rPr>
        <w:t xml:space="preserve">接到采购方关于产品问题的通知后，24小时内到达现场进行处理，维修费用按照成本费收取。</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t xml:space="preserve">（5）重大问题或其他无法迅速解决的问题，应在一周内解决或提出明确解决方案，否则乙方应赔偿甲方相应损失。</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（五）付款方式</w:t>
      </w:r>
      <w:r/>
    </w:p>
    <w:p>
      <w:pPr>
        <w:ind w:firstLine="562"/>
        <w:spacing w:line="360" w:lineRule="auto"/>
        <w:rPr>
          <w:rFonts w:eastAsia="方正仿宋_GBK"/>
          <w:color w:val="auto"/>
          <w:sz w:val="28"/>
          <w:szCs w:val="28"/>
          <w:highlight w:val="none"/>
        </w:rPr>
      </w:pPr>
      <w:r>
        <w:rPr>
          <w:rFonts w:hint="eastAsia" w:eastAsia="方正仿宋_GBK"/>
          <w:color w:val="auto"/>
          <w:sz w:val="28"/>
          <w:szCs w:val="28"/>
          <w:highlight w:val="none"/>
        </w:rPr>
        <w:t xml:space="preserve">1.签订合同后10个工作日内，采购人向</w:t>
      </w:r>
      <w:r>
        <w:rPr>
          <w:rFonts w:hint="eastAsia" w:eastAsia="方正仿宋_GBK"/>
          <w:color w:val="auto"/>
          <w:sz w:val="28"/>
          <w:szCs w:val="28"/>
          <w:highlight w:val="none"/>
          <w:lang w:val="en-US" w:eastAsia="zh-CN"/>
        </w:rPr>
        <w:t xml:space="preserve">中标供应商</w:t>
      </w:r>
      <w:r>
        <w:rPr>
          <w:rFonts w:hint="eastAsia" w:eastAsia="方正仿宋_GBK"/>
          <w:color w:val="auto"/>
          <w:sz w:val="28"/>
          <w:szCs w:val="28"/>
          <w:highlight w:val="none"/>
        </w:rPr>
        <w:t xml:space="preserve">支付合同总价款30%的预付货款（</w:t>
      </w:r>
      <w:r>
        <w:rPr>
          <w:rFonts w:hint="eastAsia" w:eastAsia="方正仿宋_GBK"/>
          <w:color w:val="auto"/>
          <w:sz w:val="28"/>
          <w:szCs w:val="28"/>
          <w:highlight w:val="none"/>
          <w:lang w:val="en-US" w:eastAsia="zh-CN"/>
        </w:rPr>
        <w:t xml:space="preserve">中标供应商</w:t>
      </w:r>
      <w:r>
        <w:rPr>
          <w:rFonts w:hint="eastAsia" w:eastAsia="方正仿宋_GBK"/>
          <w:color w:val="auto"/>
          <w:sz w:val="28"/>
          <w:szCs w:val="28"/>
          <w:highlight w:val="none"/>
        </w:rPr>
        <w:t xml:space="preserve">需先行提供同等金额的预付货款保函，</w:t>
      </w:r>
      <w:r>
        <w:rPr>
          <w:rFonts w:eastAsia="方正仿宋_GBK"/>
          <w:color w:val="auto"/>
          <w:sz w:val="28"/>
          <w:szCs w:val="28"/>
          <w:highlight w:val="none"/>
          <w:u w:val="single"/>
        </w:rPr>
        <w:t xml:space="preserve">预付款保函</w:t>
      </w:r>
      <w:r>
        <w:rPr>
          <w:rFonts w:hint="eastAsia" w:ascii="宋体" w:hAnsi="宋体" w:cs="宋体"/>
          <w:color w:val="auto"/>
          <w:sz w:val="28"/>
          <w:szCs w:val="28"/>
          <w:highlight w:val="none"/>
          <w:u w:val="single"/>
        </w:rPr>
        <w:t xml:space="preserve">须由</w:t>
      </w:r>
      <w:r>
        <w:rPr>
          <w:rFonts w:hint="eastAsia" w:eastAsia="方正仿宋_GBK"/>
          <w:color w:val="auto"/>
          <w:sz w:val="28"/>
          <w:szCs w:val="28"/>
          <w:highlight w:val="none"/>
          <w:u w:val="single"/>
          <w:lang w:val="en-US" w:eastAsia="zh-CN"/>
        </w:rPr>
        <w:t xml:space="preserve">中标供应商</w:t>
      </w:r>
      <w:r>
        <w:rPr>
          <w:rFonts w:hint="eastAsia" w:ascii="宋体" w:hAnsi="宋体" w:cs="宋体"/>
          <w:color w:val="auto"/>
          <w:sz w:val="28"/>
          <w:szCs w:val="28"/>
          <w:highlight w:val="none"/>
          <w:u w:val="single"/>
        </w:rPr>
        <w:t xml:space="preserve">基本账户开户银行或非银行金融机构出具</w:t>
      </w:r>
      <w:r>
        <w:rPr>
          <w:rFonts w:hint="eastAsia" w:eastAsia="方正仿宋_GBK"/>
          <w:color w:val="auto"/>
          <w:sz w:val="28"/>
          <w:szCs w:val="28"/>
          <w:highlight w:val="none"/>
        </w:rPr>
        <w:t xml:space="preserve">）；</w:t>
      </w:r>
      <w:r/>
    </w:p>
    <w:p>
      <w:pPr>
        <w:ind w:firstLine="630"/>
        <w:spacing w:line="480" w:lineRule="exact"/>
        <w:rPr>
          <w:rFonts w:eastAsia="方正仿宋_GBK"/>
          <w:color w:val="auto"/>
          <w:sz w:val="28"/>
          <w:szCs w:val="28"/>
          <w:highlight w:val="none"/>
          <w:u w:val="single"/>
        </w:rPr>
      </w:pPr>
      <w:r>
        <w:rPr>
          <w:rFonts w:hint="eastAsia" w:eastAsia="方正仿宋_GBK"/>
          <w:color w:val="auto"/>
          <w:sz w:val="28"/>
          <w:szCs w:val="28"/>
          <w:highlight w:val="none"/>
        </w:rPr>
        <w:t xml:space="preserve">2.</w:t>
      </w:r>
      <w:r>
        <w:rPr>
          <w:rFonts w:eastAsia="方正仿宋_GBK"/>
          <w:color w:val="auto"/>
          <w:sz w:val="24"/>
          <w:szCs w:val="24"/>
          <w:highlight w:val="none"/>
          <w:u w:val="single"/>
        </w:rPr>
        <w:t xml:space="preserve">本项目采用分批供货</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安装</w:t>
      </w:r>
      <w:r>
        <w:rPr>
          <w:rFonts w:hint="eastAsia" w:eastAsia="方正仿宋_GBK"/>
          <w:color w:val="auto"/>
          <w:sz w:val="24"/>
          <w:szCs w:val="24"/>
          <w:highlight w:val="none"/>
          <w:u w:val="single"/>
        </w:rPr>
        <w:t xml:space="preserve">、</w:t>
      </w:r>
      <w:r>
        <w:rPr>
          <w:rFonts w:eastAsia="方正仿宋_GBK"/>
          <w:color w:val="auto"/>
          <w:sz w:val="24"/>
          <w:szCs w:val="24"/>
          <w:highlight w:val="none"/>
          <w:u w:val="single"/>
        </w:rPr>
        <w:t xml:space="preserve">验收的方式</w:t>
      </w:r>
      <w:r>
        <w:rPr>
          <w:rFonts w:hint="eastAsia" w:eastAsia="方正仿宋_GBK"/>
          <w:color w:val="auto"/>
          <w:sz w:val="24"/>
          <w:szCs w:val="24"/>
          <w:highlight w:val="none"/>
          <w:u w:val="single"/>
        </w:rPr>
        <w:t xml:space="preserve">，终期验收</w:t>
      </w:r>
      <w:r>
        <w:rPr>
          <w:rFonts w:eastAsia="方正仿宋_GBK"/>
          <w:color w:val="auto"/>
          <w:sz w:val="24"/>
          <w:szCs w:val="24"/>
          <w:highlight w:val="none"/>
          <w:u w:val="single"/>
        </w:rPr>
        <w:t xml:space="preserve">后即支付合同总价货款的70%。采购人</w:t>
      </w:r>
      <w:r>
        <w:rPr>
          <w:rFonts w:hint="eastAsia" w:eastAsia="方正仿宋_GBK"/>
          <w:color w:val="auto"/>
          <w:sz w:val="24"/>
          <w:szCs w:val="24"/>
          <w:highlight w:val="none"/>
          <w:u w:val="single"/>
        </w:rPr>
        <w:t xml:space="preserve">组织</w:t>
      </w:r>
      <w:r>
        <w:rPr>
          <w:rFonts w:eastAsia="方正仿宋_GBK"/>
          <w:color w:val="auto"/>
          <w:sz w:val="24"/>
          <w:szCs w:val="24"/>
          <w:highlight w:val="none"/>
          <w:u w:val="single"/>
        </w:rPr>
        <w:t xml:space="preserve">验收（验收方式详见招标文件），凭验收报告和中标供应商开具</w:t>
      </w:r>
      <w:r>
        <w:rPr>
          <w:rFonts w:hint="eastAsia" w:eastAsia="方正仿宋_GBK"/>
          <w:color w:val="auto"/>
          <w:sz w:val="24"/>
          <w:szCs w:val="24"/>
          <w:highlight w:val="none"/>
          <w:u w:val="single"/>
        </w:rPr>
        <w:t xml:space="preserve">的增值税专用</w:t>
      </w:r>
      <w:r>
        <w:rPr>
          <w:rFonts w:eastAsia="方正仿宋_GBK"/>
          <w:color w:val="auto"/>
          <w:sz w:val="24"/>
          <w:szCs w:val="24"/>
          <w:highlight w:val="none"/>
          <w:u w:val="single"/>
        </w:rPr>
        <w:t xml:space="preserve">发票，在30个工作日内付清货款</w:t>
      </w:r>
      <w:r>
        <w:rPr>
          <w:rFonts w:hint="eastAsia" w:eastAsia="方正仿宋_GBK"/>
          <w:color w:val="auto"/>
          <w:sz w:val="24"/>
          <w:szCs w:val="24"/>
          <w:highlight w:val="none"/>
          <w:u w:val="single"/>
        </w:rPr>
        <w:t xml:space="preserve">，并</w:t>
      </w:r>
      <w:r>
        <w:rPr>
          <w:rFonts w:eastAsia="方正仿宋_GBK"/>
          <w:color w:val="auto"/>
          <w:sz w:val="24"/>
          <w:szCs w:val="24"/>
          <w:highlight w:val="none"/>
          <w:u w:val="single"/>
        </w:rPr>
        <w:t xml:space="preserve">退还中标供应商</w:t>
      </w:r>
      <w:r>
        <w:rPr>
          <w:rFonts w:hint="eastAsia" w:eastAsia="方正仿宋_GBK"/>
          <w:color w:val="auto"/>
          <w:sz w:val="24"/>
          <w:szCs w:val="24"/>
          <w:highlight w:val="none"/>
          <w:u w:val="single"/>
        </w:rPr>
        <w:t xml:space="preserve">的</w:t>
      </w:r>
      <w:r>
        <w:rPr>
          <w:rFonts w:eastAsia="方正仿宋_GBK"/>
          <w:color w:val="auto"/>
          <w:sz w:val="24"/>
          <w:szCs w:val="24"/>
          <w:highlight w:val="none"/>
          <w:u w:val="single"/>
        </w:rPr>
        <w:t xml:space="preserve">预付货款保函。</w:t>
      </w:r>
      <w:r/>
    </w:p>
    <w:p>
      <w:pPr>
        <w:ind w:firstLine="562"/>
        <w:spacing w:line="360" w:lineRule="auto"/>
        <w:rPr>
          <w:rFonts w:eastAsia="方正仿宋_GBK"/>
          <w:color w:val="auto"/>
          <w:sz w:val="28"/>
          <w:szCs w:val="28"/>
          <w:highlight w:val="none"/>
        </w:rPr>
      </w:pPr>
      <w:r>
        <w:rPr>
          <w:rFonts w:eastAsia="方正仿宋_GBK"/>
          <w:color w:val="auto"/>
          <w:sz w:val="28"/>
          <w:szCs w:val="28"/>
          <w:highlight w:val="none"/>
        </w:rPr>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（六）履约保证金</w:t>
      </w:r>
      <w:r/>
    </w:p>
    <w:p>
      <w:pPr>
        <w:ind w:firstLine="560"/>
        <w:jc w:val="left"/>
        <w:spacing w:after="0" w:line="360" w:lineRule="auto"/>
        <w:rPr>
          <w:rFonts w:eastAsia="仿宋"/>
          <w:color w:val="auto"/>
          <w:sz w:val="28"/>
          <w:szCs w:val="28"/>
          <w:highlight w:val="none"/>
        </w:rPr>
      </w:pPr>
      <w:r>
        <w:rPr>
          <w:rFonts w:hint="eastAsia" w:eastAsia="仿宋"/>
          <w:color w:val="auto"/>
          <w:sz w:val="28"/>
          <w:szCs w:val="28"/>
          <w:highlight w:val="none"/>
        </w:rPr>
        <w:t xml:space="preserve">6.1、本项目成交后的履约保证金为项目成交价的10%，</w:t>
      </w:r>
      <w:r>
        <w:rPr>
          <w:rFonts w:hint="eastAsia" w:eastAsia="仿宋"/>
          <w:color w:val="auto"/>
          <w:sz w:val="28"/>
          <w:szCs w:val="28"/>
          <w:highlight w:val="none"/>
          <w:lang w:val="en-US" w:eastAsia="zh-CN"/>
        </w:rPr>
        <w:t xml:space="preserve">中标供应商</w:t>
      </w:r>
      <w:r>
        <w:rPr>
          <w:rFonts w:hint="eastAsia" w:ascii="仿宋" w:hAnsi="仿宋" w:eastAsia="仿宋" w:cs="仿宋"/>
          <w:color w:val="auto"/>
          <w:sz w:val="28"/>
          <w:szCs w:val="28"/>
          <w:highlight w:val="none"/>
        </w:rPr>
        <w:t xml:space="preserve">的履约保证金须在成交通知书发出之日起至合同签订前汇入采购单位账户（应当以数字人民币、支票、汇票或者金融机构、担保机构出具的保函等非现金形式提交），</w:t>
      </w:r>
      <w:r>
        <w:rPr>
          <w:rFonts w:hint="eastAsia" w:eastAsia="仿宋"/>
          <w:color w:val="auto"/>
          <w:sz w:val="28"/>
          <w:szCs w:val="28"/>
          <w:highlight w:val="none"/>
          <w:lang w:val="en-US" w:eastAsia="zh-CN"/>
        </w:rPr>
        <w:t xml:space="preserve">中标供应商</w:t>
      </w:r>
      <w:r>
        <w:rPr>
          <w:rFonts w:hint="eastAsia" w:ascii="仿宋" w:hAnsi="仿宋" w:eastAsia="仿宋" w:cs="仿宋"/>
          <w:color w:val="auto"/>
          <w:sz w:val="28"/>
          <w:szCs w:val="28"/>
          <w:highlight w:val="none"/>
        </w:rPr>
        <w:t xml:space="preserve">凭成交通知书与采购单位签订合同。超</w:t>
      </w:r>
      <w:r>
        <w:rPr>
          <w:rFonts w:hint="eastAsia" w:eastAsia="仿宋"/>
          <w:color w:val="auto"/>
          <w:sz w:val="28"/>
          <w:szCs w:val="28"/>
          <w:highlight w:val="none"/>
        </w:rPr>
        <w:t xml:space="preserve">期付款或未有协商，则视为拒绝签订合同。</w:t>
      </w:r>
      <w:r>
        <w:rPr>
          <w:rFonts w:hint="eastAsia" w:eastAsia="仿宋"/>
          <w:color w:val="auto"/>
          <w:sz w:val="28"/>
          <w:szCs w:val="28"/>
          <w:highlight w:val="none"/>
        </w:rPr>
        <w:br/>
      </w:r>
      <w:r>
        <w:rPr>
          <w:rFonts w:hint="eastAsia" w:eastAsia="仿宋"/>
          <w:color w:val="auto"/>
          <w:sz w:val="28"/>
          <w:szCs w:val="28"/>
          <w:highlight w:val="none"/>
        </w:rPr>
        <w:t xml:space="preserve">    6.2、</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全部履约合同义务，经采购单位验收合格无质量、进度等问题的，采购人在验收合格后30日内全额退还履约保证金（无息）。采购人若逾期退还履约保证金的，按照逾期部分的每日0.05%支付违约金；</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6.3、发生以下情况的，履约保证金不予退还或部分退还：</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a.签订合同后，</w:t>
      </w:r>
      <w:r>
        <w:rPr>
          <w:rFonts w:hint="eastAsia" w:eastAsia="仿宋"/>
          <w:color w:val="auto"/>
          <w:sz w:val="28"/>
          <w:szCs w:val="28"/>
          <w:highlight w:val="none"/>
          <w:lang w:val="en-US" w:eastAsia="zh-CN"/>
        </w:rPr>
        <w:t xml:space="preserve">中标供应</w:t>
      </w:r>
      <w:r>
        <w:rPr>
          <w:rFonts w:hint="eastAsia" w:eastAsia="仿宋"/>
          <w:color w:val="auto"/>
          <w:sz w:val="28"/>
          <w:szCs w:val="28"/>
          <w:highlight w:val="none"/>
        </w:rPr>
        <w:t xml:space="preserve">商不履行合同义务的，采购单位有权全额扣除履约保证金，全额不予退还，同时采购单位亦有权终止合同，</w:t>
      </w:r>
      <w:r>
        <w:rPr>
          <w:rFonts w:hint="eastAsia" w:eastAsia="仿宋"/>
          <w:color w:val="auto"/>
          <w:sz w:val="28"/>
          <w:szCs w:val="28"/>
          <w:highlight w:val="none"/>
          <w:lang w:val="en-US" w:eastAsia="zh-CN"/>
        </w:rPr>
        <w:t xml:space="preserve">中标供应</w:t>
      </w:r>
      <w:r>
        <w:rPr>
          <w:rFonts w:hint="eastAsia" w:eastAsia="仿宋"/>
          <w:color w:val="auto"/>
          <w:sz w:val="28"/>
          <w:szCs w:val="28"/>
          <w:highlight w:val="none"/>
        </w:rPr>
        <w:t xml:space="preserve">商还须承担相应的法律赔偿责任。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b.</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在履约过程中发生违约行为，给采购单位造成损失的，采购单位有权在</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缴纳的履约保证金中予以扣款，以弥补采购单位经济损失，不足的部分</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另外补齐。</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6.4、</w:t>
      </w:r>
      <w:r>
        <w:rPr>
          <w:rFonts w:eastAsia="仿宋"/>
          <w:color w:val="auto"/>
          <w:sz w:val="28"/>
          <w:szCs w:val="28"/>
          <w:highlight w:val="none"/>
        </w:rPr>
        <w:t xml:space="preserve">以履约保函（保险）形式向采购人缴纳的，按照《关于在全省政府采购领域推行电子履约保函（保险）的通知》，登录</w:t>
      </w:r>
      <w:r>
        <w:rPr>
          <w:rFonts w:hint="eastAsia" w:eastAsia="仿宋"/>
          <w:color w:val="auto"/>
          <w:sz w:val="28"/>
          <w:szCs w:val="28"/>
          <w:highlight w:val="none"/>
        </w:rPr>
        <w:t xml:space="preserve">江苏政府采购网，选择“保险保函”模块，进行相关操作。供应商可登陆江苏政府采购网“资料下载”栏目下载“政府采购电子履约（保函）保险操作手册”。</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（七）违约责任条款</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1.</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因故不能按期分批供货安装的，按合同总价0.05%/天的标准累计加算违约金直至完成供货安装（违约金从货款中扣除）。采购人原因或不可抗力的因素影响除外。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2.</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低于招标文件参数或技术标准供货的，</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须恢复为不低于合同规定的参数或技术标准，同时支付给采购人该批次货款20%的违约金（违约金从货款中扣除）。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3.</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未按规定和承诺提供售后服务的，采购人有权没收全部在押履约保证金。</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在采购人过程监控监督时发生违约行为的，</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须付给采购人相应的违约金（违约金从货款中扣除）：</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4.1</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无法提供原材料进货合同和发票的，须以10000元/次的标准向采购人承担违约责任，并在5天内补齐相关材料，否则按10000元/次的标准，继续承担违约责任。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4.2</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未严格按照规格尺寸参数和工艺要求加工产品或产品质量达不到相关参数要求的，应按合同总价款的5%向采购人承担违约责任并在规定期限内完成整改，否则按合同总价款20%的标准继续承担违约责任。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4.3</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生产进度比约定日期延后的，</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须以10000元/天的标准，付给采购人违约金。采购人原因或不可抗力的因素影响除外。</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5.</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提供的产品，在质保期内因产品质量问题发生安全事故的，</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须免费替换相关产品，向采购人（或使用人）赔偿相关损失，并以50000元/起的标准向采购人承担违约责任。</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6.本项目核心产品未按要求由</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提交投标文件中指定的生产基地生产制造的，</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应按合同总价款30%/批次的标准向采购人承担违约责任并作出整改，否则按合同总价款30%/批次的标准继续承担违约责任并作出整改，整改仍不到位的，采购人将终止合同，</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须承担相应的法律赔偿责任。</w:t>
      </w:r>
      <w:r/>
    </w:p>
    <w:p>
      <w:pPr>
        <w:ind w:firstLine="562"/>
        <w:spacing w:line="360" w:lineRule="auto"/>
        <w:rPr>
          <w:color w:val="auto"/>
          <w:highlight w:val="none"/>
        </w:rPr>
      </w:pPr>
      <w:r>
        <w:rPr>
          <w:rFonts w:hint="eastAsia" w:eastAsia="仿宋"/>
          <w:color w:val="auto"/>
          <w:sz w:val="28"/>
          <w:szCs w:val="28"/>
          <w:highlight w:val="none"/>
        </w:rPr>
        <w:t xml:space="preserve">7.采购方除</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低于参数、技术标准供货或不可抗力因素外，要求退货或不接受货物的，需赔偿</w:t>
      </w:r>
      <w:r>
        <w:rPr>
          <w:rFonts w:hint="eastAsia" w:eastAsia="仿宋"/>
          <w:color w:val="auto"/>
          <w:sz w:val="28"/>
          <w:szCs w:val="28"/>
          <w:highlight w:val="none"/>
          <w:lang w:val="en-US" w:eastAsia="zh-CN"/>
        </w:rPr>
        <w:t xml:space="preserve">中标供应商</w:t>
      </w:r>
      <w:r>
        <w:rPr>
          <w:rFonts w:hint="eastAsia" w:eastAsia="仿宋"/>
          <w:color w:val="auto"/>
          <w:sz w:val="28"/>
          <w:szCs w:val="28"/>
          <w:highlight w:val="none"/>
        </w:rPr>
        <w:t xml:space="preserve">相应损失（以实际发生额为准）。</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（八）非单一产品采购项目，采购标的中的核心产品。</w:t>
      </w:r>
      <w:r/>
    </w:p>
    <w:p>
      <w:pPr>
        <w:pStyle w:val="793"/>
        <w:ind w:firstLine="562"/>
        <w:rPr>
          <w:rFonts w:eastAsia="仿宋"/>
          <w:color w:val="auto"/>
          <w:highlight w:val="none"/>
        </w:rPr>
      </w:pPr>
      <w:r>
        <w:rPr>
          <w:rFonts w:hint="eastAsia" w:ascii="仿宋" w:hAnsi="仿宋" w:eastAsia="仿宋" w:cs="仿宋"/>
          <w:b/>
          <w:bCs/>
          <w:color w:val="auto"/>
          <w:sz w:val="28"/>
          <w:szCs w:val="28"/>
          <w:highlight w:val="none"/>
        </w:rPr>
        <w:t xml:space="preserve">本项目核心产品为：产品1.联排课桌椅</w:t>
      </w:r>
      <w:r/>
    </w:p>
    <w:p>
      <w:pPr>
        <w:ind w:firstLine="562"/>
        <w:spacing w:line="360" w:lineRule="auto"/>
        <w:rPr>
          <w:rFonts w:eastAsia="仿宋"/>
          <w:color w:val="auto"/>
          <w:sz w:val="28"/>
          <w:szCs w:val="28"/>
          <w:highlight w:val="none"/>
        </w:rPr>
      </w:pPr>
      <w:r>
        <w:rPr>
          <w:rFonts w:hint="eastAsia" w:eastAsia="仿宋"/>
          <w:color w:val="auto"/>
          <w:sz w:val="28"/>
          <w:szCs w:val="28"/>
          <w:highlight w:val="none"/>
        </w:rPr>
        <w:t xml:space="preserve">该核心产品须由投标人指定生产基地生产制造。</w:t>
      </w:r>
      <w:r/>
    </w:p>
    <w:p>
      <w:pPr>
        <w:ind w:firstLine="562"/>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（九）本项目</w:t>
      </w:r>
      <w:r>
        <w:rPr>
          <w:rFonts w:hint="eastAsia" w:ascii="仿宋" w:hAnsi="仿宋" w:eastAsia="仿宋" w:cs="仿宋"/>
          <w:b/>
          <w:bCs/>
          <w:color w:val="auto"/>
          <w:sz w:val="28"/>
          <w:szCs w:val="28"/>
          <w:highlight w:val="none"/>
          <w:u w:val="single"/>
        </w:rPr>
        <w:t xml:space="preserve">不</w:t>
      </w:r>
      <w:r>
        <w:rPr>
          <w:rFonts w:hint="eastAsia" w:ascii="仿宋" w:hAnsi="仿宋" w:eastAsia="仿宋" w:cs="仿宋"/>
          <w:b/>
          <w:bCs/>
          <w:color w:val="auto"/>
          <w:sz w:val="28"/>
          <w:szCs w:val="28"/>
          <w:highlight w:val="none"/>
        </w:rPr>
        <w:t xml:space="preserve">接受进口产品投标。</w:t>
      </w:r>
      <w:r/>
    </w:p>
    <w:p>
      <w:pPr>
        <w:spacing w:line="360" w:lineRule="auto"/>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z w:val="28"/>
          <w:szCs w:val="28"/>
          <w:highlight w:val="none"/>
        </w:rPr>
      </w:r>
      <w:r/>
    </w:p>
    <w:p>
      <w:pPr>
        <w:spacing w:line="360" w:lineRule="auto"/>
        <w:rPr>
          <w:rFonts w:hint="eastAsia" w:ascii="仿宋" w:hAnsi="仿宋" w:eastAsia="仿宋" w:cs="仿宋"/>
          <w:b/>
          <w:i/>
          <w:color w:val="auto"/>
          <w:sz w:val="28"/>
          <w:szCs w:val="28"/>
          <w:highlight w:val="none"/>
          <w:u w:val="single"/>
        </w:rPr>
        <w:outlineLvl w:val="0"/>
      </w:pPr>
      <w:r>
        <w:rPr>
          <w:rFonts w:hint="eastAsia" w:ascii="仿宋" w:hAnsi="仿宋" w:eastAsia="仿宋" w:cs="仿宋"/>
          <w:b/>
          <w:bCs/>
          <w:color w:val="auto"/>
          <w:sz w:val="28"/>
          <w:szCs w:val="28"/>
          <w:highlight w:val="none"/>
        </w:rPr>
        <w:t xml:space="preserve">四</w:t>
      </w:r>
      <w:r>
        <w:rPr>
          <w:rFonts w:hint="eastAsia" w:ascii="仿宋" w:hAnsi="仿宋" w:eastAsia="仿宋" w:cs="仿宋"/>
          <w:color w:val="auto"/>
          <w:sz w:val="28"/>
          <w:szCs w:val="28"/>
          <w:highlight w:val="none"/>
        </w:rPr>
        <w:t xml:space="preserve">、</w:t>
      </w:r>
      <w:r>
        <w:rPr>
          <w:rFonts w:hint="eastAsia" w:ascii="仿宋" w:hAnsi="仿宋" w:eastAsia="仿宋" w:cs="仿宋"/>
          <w:b/>
          <w:i/>
          <w:color w:val="auto"/>
          <w:sz w:val="28"/>
          <w:szCs w:val="28"/>
          <w:highlight w:val="none"/>
          <w:u w:val="single"/>
        </w:rPr>
        <w:t xml:space="preserve">采购需求中必须满足的实质性要求。</w:t>
      </w:r>
      <w:r/>
    </w:p>
    <w:p>
      <w:pPr>
        <w:ind w:firstLine="560"/>
        <w:spacing w:line="360" w:lineRule="auto"/>
        <w:rPr>
          <w:rFonts w:hint="eastAsia" w:ascii="仿宋" w:hAnsi="仿宋" w:eastAsia="仿宋" w:cs="仿宋"/>
          <w:b/>
          <w:bCs/>
          <w:i/>
          <w:color w:val="auto"/>
          <w:sz w:val="28"/>
          <w:szCs w:val="28"/>
          <w:highlight w:val="none"/>
          <w:u w:val="single"/>
        </w:rPr>
      </w:pPr>
      <w:r>
        <w:rPr>
          <w:rFonts w:hint="eastAsia" w:ascii="仿宋" w:hAnsi="仿宋" w:eastAsia="仿宋" w:cs="仿宋"/>
          <w:b/>
          <w:bCs/>
          <w:i/>
          <w:color w:val="auto"/>
          <w:sz w:val="28"/>
          <w:szCs w:val="28"/>
          <w:highlight w:val="none"/>
          <w:u w:val="single"/>
        </w:rPr>
        <w:t xml:space="preserve">4.1技术部分实质性要求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1.</w:t>
      </w:r>
      <w:r>
        <w:rPr>
          <w:rFonts w:hint="eastAsia" w:ascii="宋体" w:hAnsi="宋体" w:cs="宋体"/>
          <w:b/>
          <w:color w:val="auto"/>
          <w:sz w:val="24"/>
          <w:szCs w:val="24"/>
          <w:highlight w:val="none"/>
        </w:rPr>
        <w:t xml:space="preserve"> </w:t>
      </w:r>
      <w:r>
        <w:rPr>
          <w:rFonts w:hint="eastAsia" w:ascii="宋体" w:hAnsi="宋体" w:cs="宋体"/>
          <w:b/>
          <w:i/>
          <w:iCs/>
          <w:color w:val="auto"/>
          <w:sz w:val="24"/>
          <w:szCs w:val="24"/>
          <w:highlight w:val="none"/>
          <w:u w:val="single"/>
        </w:rPr>
        <w:t xml:space="preserve">本项目除有明确相关偏离要求的技术参数外</w:t>
      </w:r>
      <w:r>
        <w:rPr>
          <w:rFonts w:hint="eastAsia" w:eastAsia="仿宋"/>
          <w:i/>
          <w:iCs/>
          <w:color w:val="auto"/>
          <w:sz w:val="28"/>
          <w:szCs w:val="28"/>
          <w:highlight w:val="none"/>
          <w:u w:val="single"/>
        </w:rPr>
        <w:t xml:space="preserve">，其余产品的规格尺寸均为参考数值。投标人在符合采购人的实际需求的基础上，可对产品进行优化设计。中标供应商与采购人签订合同后一周内提供符合采购人实质性需求的样品或经过优化设计的样品，同时提供优化说明及所投产品的实际规格尺寸，待采购人确认后批量生产。安装方案必须采购人认可后方可实施。低于样品参数要求的，适用相关违约责任条款。</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2.投标人可以到现场踏勘以充分了解安装现场</w:t>
      </w:r>
      <w:r>
        <w:rPr>
          <w:rFonts w:hint="eastAsia" w:eastAsia="仿宋"/>
          <w:bCs/>
          <w:i/>
          <w:iCs/>
          <w:color w:val="auto"/>
          <w:sz w:val="28"/>
          <w:szCs w:val="28"/>
          <w:highlight w:val="none"/>
          <w:u w:val="single"/>
        </w:rPr>
        <w:t xml:space="preserve">户型、地点、道路、储存空间</w:t>
      </w:r>
      <w:r>
        <w:rPr>
          <w:rFonts w:hint="eastAsia" w:eastAsia="仿宋"/>
          <w:i/>
          <w:iCs/>
          <w:color w:val="auto"/>
          <w:sz w:val="28"/>
          <w:szCs w:val="28"/>
          <w:highlight w:val="none"/>
          <w:u w:val="single"/>
        </w:rPr>
        <w:t xml:space="preserve">、装卸限制及任何其它足以影响投标报价的情况，任何因忽视或误解现场情况而导致的索赔或供货期延长申请将不获批准，由此发生的任何费用由投标供应商自理。现场踏勘还需了解教学楼栋、教室的基本情况，明确数量，并体现在投标文件中。</w:t>
      </w:r>
      <w:r/>
    </w:p>
    <w:p>
      <w:pPr>
        <w:ind w:firstLine="562"/>
        <w:spacing w:line="360" w:lineRule="auto"/>
        <w:rPr>
          <w:rFonts w:eastAsia="仿宋"/>
          <w:i/>
          <w:iCs/>
          <w:color w:val="auto"/>
          <w:sz w:val="28"/>
          <w:szCs w:val="28"/>
          <w:highlight w:val="none"/>
          <w:u w:val="single"/>
        </w:rPr>
      </w:pPr>
      <w:r>
        <w:rPr>
          <w:rFonts w:eastAsia="仿宋"/>
          <w:i/>
          <w:iCs/>
          <w:color w:val="auto"/>
          <w:sz w:val="28"/>
          <w:szCs w:val="28"/>
          <w:highlight w:val="none"/>
          <w:u w:val="single"/>
        </w:rPr>
        <w:t xml:space="preserve">3</w:t>
      </w:r>
      <w:r>
        <w:rPr>
          <w:rFonts w:hint="eastAsia" w:eastAsia="仿宋"/>
          <w:i/>
          <w:iCs/>
          <w:color w:val="auto"/>
          <w:sz w:val="28"/>
          <w:szCs w:val="28"/>
          <w:highlight w:val="none"/>
          <w:u w:val="single"/>
        </w:rPr>
        <w:t xml:space="preserve">.投标人提供的所有货物必须满足招标文件要求，必须符合最新国家相关标准、行业标准、地方标准或者其他标准、规范（含原料和产品的安全、试验、检测、运输、安装等）。货物到达现场后，需报采购人同意后方可安装，对于将不合格的货物使用到本项目，一切损失及后果由投标人自行承担。</w:t>
      </w:r>
      <w:r/>
    </w:p>
    <w:p>
      <w:pPr>
        <w:ind w:firstLine="562"/>
        <w:spacing w:line="360" w:lineRule="auto"/>
        <w:rPr>
          <w:rFonts w:eastAsia="仿宋"/>
          <w:i/>
          <w:iCs/>
          <w:color w:val="auto"/>
          <w:sz w:val="28"/>
          <w:szCs w:val="28"/>
          <w:highlight w:val="none"/>
          <w:u w:val="single"/>
        </w:rPr>
      </w:pPr>
      <w:r>
        <w:rPr>
          <w:rFonts w:eastAsia="仿宋"/>
          <w:i/>
          <w:iCs/>
          <w:color w:val="auto"/>
          <w:sz w:val="28"/>
          <w:szCs w:val="28"/>
          <w:highlight w:val="none"/>
          <w:u w:val="single"/>
        </w:rPr>
        <w:t xml:space="preserve">4</w:t>
      </w:r>
      <w:r>
        <w:rPr>
          <w:rFonts w:hint="eastAsia" w:eastAsia="仿宋"/>
          <w:i/>
          <w:iCs/>
          <w:color w:val="auto"/>
          <w:sz w:val="28"/>
          <w:szCs w:val="28"/>
          <w:highlight w:val="none"/>
          <w:u w:val="single"/>
        </w:rPr>
        <w:t xml:space="preserve">.投标人提供的所有货物必须与分项报价明细表注明的内容相符。</w:t>
      </w:r>
      <w:r/>
    </w:p>
    <w:p>
      <w:pPr>
        <w:ind w:firstLine="562"/>
        <w:spacing w:line="360" w:lineRule="auto"/>
        <w:rPr>
          <w:rFonts w:eastAsia="仿宋"/>
          <w:i/>
          <w:iCs/>
          <w:color w:val="auto"/>
          <w:sz w:val="28"/>
          <w:szCs w:val="28"/>
          <w:highlight w:val="none"/>
          <w:u w:val="single"/>
        </w:rPr>
      </w:pPr>
      <w:r>
        <w:rPr>
          <w:rFonts w:eastAsia="仿宋"/>
          <w:i/>
          <w:iCs/>
          <w:color w:val="auto"/>
          <w:sz w:val="28"/>
          <w:szCs w:val="28"/>
          <w:highlight w:val="none"/>
          <w:u w:val="single"/>
        </w:rPr>
        <w:t xml:space="preserve">5</w:t>
      </w:r>
      <w:r>
        <w:rPr>
          <w:rFonts w:hint="eastAsia" w:eastAsia="仿宋"/>
          <w:i/>
          <w:iCs/>
          <w:color w:val="auto"/>
          <w:sz w:val="28"/>
          <w:szCs w:val="28"/>
          <w:highlight w:val="none"/>
          <w:u w:val="single"/>
        </w:rPr>
        <w:t xml:space="preserve">.油漆和金属配件须使用环保合格的产品。</w:t>
      </w:r>
      <w:r/>
    </w:p>
    <w:p>
      <w:pPr>
        <w:ind w:firstLine="560"/>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4.2商务部分实质性要求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1.项目相关期限</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1）履约保证金缴纳期限：本项目成交后的履约保证金为项目成交价（合同总价款）的10%。履约保证金须在成交通知书发出之日起至合同签订前汇入采购人指定账户（应当以数字人民币、支票、汇票或者金融机构、担保机构出具的保函等非现金形式提交），投标人凭成交通知书与采购人签订合同。超期付款或未有协商，则视为拒绝签订合同。</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（2）签订合同期限：自中标（成交）通知书发出之日起15个工作日内。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（3）交货期限：投标人须制定明确可行的生产进度表，严格按进度安排生产安装并接受采购人过程监管监督。按招投标文件明确的批次完成供货安装。</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（4）在第一批次产品送达后15天内提供完整的本批次原材料抽样检验检测报告和成品合格抽样检验检测报告原件；报告须由市级及以上质检部门出具；检验检测报告结果须符合相关国家标准的要求。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（5）投标人中标后在所投产品完整安装密封20天后，委托具有相关资质的权威检测机构按GB/T 18883-2022《室内空气质量标准》进行一次室内环境空气质量检验检测，确保检测结果达标。</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2.</w:t>
      </w:r>
      <w:bookmarkStart w:id="183" w:name="OLE_LINK1"/>
      <w:r>
        <w:rPr>
          <w:rFonts w:hint="eastAsia" w:eastAsia="仿宋"/>
          <w:i/>
          <w:iCs/>
          <w:color w:val="auto"/>
          <w:sz w:val="28"/>
          <w:szCs w:val="28"/>
          <w:highlight w:val="none"/>
          <w:u w:val="single"/>
        </w:rPr>
        <w:t xml:space="preserve">投标人中标后</w:t>
      </w:r>
      <w:bookmarkEnd w:id="183"/>
      <w:r>
        <w:rPr>
          <w:rFonts w:hint="eastAsia" w:eastAsia="仿宋"/>
          <w:i/>
          <w:iCs/>
          <w:color w:val="auto"/>
          <w:sz w:val="28"/>
          <w:szCs w:val="28"/>
          <w:highlight w:val="none"/>
          <w:u w:val="single"/>
        </w:rPr>
        <w:t xml:space="preserve">须接受采购人的生产过程监控监督及合理要求，并按要求提供相关资料。</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3.投标人中标后须满足采购标的数量、交付或者实施的时间和地点要求。</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4.投标人中标后须严格遵守有关要求，认真研读并接受违约责任条款。</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5.核心产品须由投标人指定生产基地生产制造。 </w:t>
      </w:r>
      <w:r/>
    </w:p>
    <w:p>
      <w:pPr>
        <w:ind w:firstLine="562"/>
        <w:spacing w:line="360" w:lineRule="auto"/>
        <w:rPr>
          <w:rFonts w:eastAsia="仿宋"/>
          <w:i/>
          <w:iCs/>
          <w:color w:val="auto"/>
          <w:sz w:val="28"/>
          <w:szCs w:val="28"/>
          <w:highlight w:val="none"/>
          <w:u w:val="single"/>
        </w:rPr>
      </w:pPr>
      <w:r>
        <w:rPr>
          <w:rFonts w:hint="eastAsia" w:eastAsia="仿宋"/>
          <w:i/>
          <w:iCs/>
          <w:color w:val="auto"/>
          <w:sz w:val="28"/>
          <w:szCs w:val="28"/>
          <w:highlight w:val="none"/>
          <w:u w:val="single"/>
        </w:rPr>
        <w:t xml:space="preserve">6.投标人需认真填写合同附件《投标分项报价表》，缺项或不填写作无效投标处理。</w:t>
      </w:r>
      <w:r/>
    </w:p>
    <w:p>
      <w:pPr>
        <w:ind w:firstLine="562"/>
        <w:spacing w:line="360" w:lineRule="auto"/>
        <w:rPr>
          <w:rFonts w:eastAsia="仿宋"/>
          <w:b/>
          <w:bCs/>
          <w:i/>
          <w:iCs/>
          <w:color w:val="auto"/>
          <w:sz w:val="28"/>
          <w:szCs w:val="28"/>
          <w:highlight w:val="none"/>
          <w:u w:val="single"/>
        </w:rPr>
      </w:pPr>
      <w:r>
        <w:rPr>
          <w:rFonts w:hint="eastAsia" w:eastAsia="仿宋"/>
          <w:b/>
          <w:bCs/>
          <w:i/>
          <w:iCs/>
          <w:color w:val="auto"/>
          <w:sz w:val="28"/>
          <w:szCs w:val="28"/>
          <w:highlight w:val="none"/>
          <w:u w:val="single"/>
        </w:rPr>
        <w:t xml:space="preserve">投标人自拟承诺函，明确承诺响应技术部分（1-</w:t>
      </w:r>
      <w:r>
        <w:rPr>
          <w:rFonts w:hint="eastAsia" w:eastAsia="仿宋"/>
          <w:b/>
          <w:bCs/>
          <w:i/>
          <w:iCs/>
          <w:color w:val="auto"/>
          <w:sz w:val="28"/>
          <w:szCs w:val="28"/>
          <w:highlight w:val="none"/>
          <w:u w:val="single"/>
          <w:lang w:val="en-US" w:eastAsia="zh-CN"/>
        </w:rPr>
        <w:t xml:space="preserve">5</w:t>
      </w:r>
      <w:r>
        <w:rPr>
          <w:rFonts w:hint="eastAsia" w:eastAsia="仿宋"/>
          <w:b/>
          <w:bCs/>
          <w:i/>
          <w:iCs/>
          <w:color w:val="auto"/>
          <w:sz w:val="28"/>
          <w:szCs w:val="28"/>
          <w:highlight w:val="none"/>
          <w:u w:val="single"/>
        </w:rPr>
        <w:t xml:space="preserve">项）实质性要求和商务部分（1—5项）的实质性要求。</w:t>
      </w:r>
      <w:r/>
    </w:p>
    <w:p>
      <w:pPr>
        <w:jc w:val="left"/>
        <w:spacing w:line="360" w:lineRule="auto"/>
        <w:rPr>
          <w:color w:val="auto"/>
          <w:highlight w:val="none"/>
        </w:rPr>
      </w:pPr>
      <w:r>
        <w:rPr>
          <w:color w:val="auto"/>
          <w:highlight w:val="none"/>
        </w:rPr>
      </w:r>
      <w:r/>
    </w:p>
    <w:p>
      <w:pPr>
        <w:jc w:val="center"/>
        <w:pageBreakBefore/>
        <w:spacing w:line="360" w:lineRule="auto"/>
        <w:rPr>
          <w:color w:val="auto"/>
          <w:highlight w:val="none"/>
        </w:rPr>
      </w:pPr>
      <w:r>
        <w:rPr>
          <w:rFonts w:hint="eastAsia" w:ascii="黑体" w:hAnsi="黑体" w:eastAsia="黑体" w:cs="黑体"/>
          <w:b/>
          <w:bCs/>
          <w:color w:val="auto"/>
          <w:sz w:val="44"/>
          <w:szCs w:val="44"/>
          <w:highlight w:val="none"/>
        </w:rPr>
        <w:t xml:space="preserve">第五章  评标方法与评标标准</w:t>
      </w:r>
      <w:bookmarkEnd w:id="178"/>
      <w:r/>
      <w:bookmarkEnd w:id="179"/>
      <w:r/>
      <w:bookmarkEnd w:id="180"/>
      <w:r/>
      <w:bookmarkEnd w:id="181"/>
      <w:r/>
      <w:r/>
    </w:p>
    <w:p>
      <w:pPr>
        <w:ind w:firstLine="512"/>
        <w:spacing w:before="120" w:after="12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tbl>
      <w:tblPr>
        <w:tblStyle w:val="802"/>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9"/>
        <w:gridCol w:w="5826"/>
      </w:tblGrid>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选取中标候选人数量</w:t>
            </w:r>
            <w:r/>
          </w:p>
        </w:tc>
        <w:tc>
          <w:tcPr>
            <w:tcW w:w="5826"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选取中标候选人的原则</w:t>
            </w:r>
            <w:r/>
          </w:p>
        </w:tc>
      </w:tr>
      <w:tr>
        <w:trPr/>
        <w:tc>
          <w:tcPr>
            <w:tcW w:w="2359"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5826" w:type="dxa"/>
            <w:textDirection w:val="lrTb"/>
            <w:noWrap w:val="false"/>
          </w:tcPr>
          <w:p>
            <w:pPr>
              <w:jc w:val="lef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满足招标文件全部实质性要求，且按照评审因素的量化指标评审得分最高的投标人为中标候选人。</w:t>
            </w:r>
            <w:r/>
          </w:p>
        </w:tc>
      </w:tr>
    </w:tbl>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政府采购政策功能落实：本项目专门面向中小企业采购，价格评审不再执行优惠扣除。</w:t>
      </w:r>
      <w:r/>
    </w:p>
    <w:p>
      <w:pPr>
        <w:ind w:firstLine="562"/>
        <w:jc w:val="left"/>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评标方法与评标标准</w:t>
      </w:r>
      <w:r/>
    </w:p>
    <w:p>
      <w:pPr>
        <w:pStyle w:val="1126"/>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1、价格分：65分</w:t>
      </w:r>
      <w:r/>
    </w:p>
    <w:p>
      <w:pPr>
        <w:pStyle w:val="1126"/>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26"/>
        <w:ind w:firstLine="482"/>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投标报价得分=（评标基准价/投标报价）×价格权值×100</w:t>
      </w:r>
      <w:r/>
    </w:p>
    <w:p>
      <w:pPr>
        <w:pStyle w:val="1126"/>
        <w:ind w:firstLine="562"/>
        <w:spacing w:before="0" w:after="0"/>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2、商务分：2</w:t>
      </w:r>
      <w:r>
        <w:rPr>
          <w:rFonts w:hint="eastAsia" w:ascii="仿宋" w:hAnsi="仿宋" w:eastAsia="仿宋" w:cs="仿宋"/>
          <w:b/>
          <w:color w:val="auto"/>
          <w:sz w:val="28"/>
          <w:szCs w:val="28"/>
          <w:highlight w:val="none"/>
          <w:lang w:val="en-US" w:eastAsia="zh-CN"/>
        </w:rPr>
        <w:t xml:space="preserve">1</w:t>
      </w:r>
      <w:r>
        <w:rPr>
          <w:rFonts w:hint="eastAsia" w:ascii="仿宋" w:hAnsi="仿宋" w:eastAsia="仿宋" w:cs="仿宋"/>
          <w:b/>
          <w:color w:val="auto"/>
          <w:sz w:val="28"/>
          <w:szCs w:val="28"/>
          <w:highlight w:val="none"/>
        </w:rPr>
        <w:t xml:space="preserve">分</w:t>
      </w:r>
      <w:r/>
    </w:p>
    <w:tbl>
      <w:tblPr>
        <w:tblStyle w:val="802"/>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859"/>
        <w:gridCol w:w="895"/>
        <w:gridCol w:w="5952"/>
        <w:gridCol w:w="867"/>
      </w:tblGrid>
      <w:tr>
        <w:trPr>
          <w:jc w:val="center"/>
          <w:trHeight w:val="323"/>
        </w:trPr>
        <w:tc>
          <w:tcPr>
            <w:tcW w:w="538" w:type="dxa"/>
            <w:vAlign w:val="center"/>
            <w:textDirection w:val="lrTb"/>
            <w:noWrap w:val="false"/>
          </w:tcPr>
          <w:p>
            <w:pPr>
              <w:jc w:val="center"/>
              <w:rPr>
                <w:rFonts w:eastAsia="方正仿宋_GBK"/>
                <w:color w:val="auto"/>
                <w:sz w:val="28"/>
                <w:szCs w:val="28"/>
                <w:highlight w:val="none"/>
              </w:rPr>
            </w:pPr>
            <w:r/>
            <w:bookmarkStart w:id="184" w:name="_Hlk207827554"/>
            <w:r>
              <w:rPr>
                <w:rFonts w:eastAsia="方正仿宋_GBK"/>
                <w:color w:val="auto"/>
                <w:sz w:val="28"/>
                <w:szCs w:val="28"/>
                <w:highlight w:val="none"/>
              </w:rPr>
              <w:t xml:space="preserve">序号</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59"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95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867"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主/客观分</w:t>
            </w:r>
            <w:r/>
          </w:p>
        </w:tc>
      </w:tr>
      <w:tr>
        <w:trPr>
          <w:jc w:val="center"/>
          <w:trHeight w:val="1264"/>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企业业绩</w:t>
            </w:r>
            <w:r/>
          </w:p>
        </w:tc>
        <w:tc>
          <w:tcPr>
            <w:tcW w:w="859"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8</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投标人提供2022年1月1日以来联排课桌椅成功案例或实木课桌椅或实木凳的成功案例或活动桌椅相似的成功案例，每完整提供一个案例得2分，本项最高得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分。</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每个案例须以结算发票日期为准，同时提供中标通知书（或中标公告截图等可以证明项目合作的相关资料）、完整的合同、结算发票、验收资料等原始材料扫描件并加盖投标人公章。提供不全或未提供的不得分。</w:t>
            </w:r>
            <w:r/>
          </w:p>
        </w:tc>
        <w:tc>
          <w:tcPr>
            <w:tcW w:w="867"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886"/>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843"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企业认证及证书</w:t>
            </w:r>
            <w:r/>
          </w:p>
        </w:tc>
        <w:tc>
          <w:tcPr>
            <w:tcW w:w="859" w:type="dxa"/>
            <w:vAlign w:val="center"/>
            <w:textDirection w:val="lrTb"/>
            <w:noWrap w:val="false"/>
          </w:tcPr>
          <w:p>
            <w:pPr>
              <w:jc w:val="center"/>
              <w:rPr>
                <w:rFonts w:hint="default" w:eastAsia="方正仿宋_GBK"/>
                <w:color w:val="auto"/>
                <w:sz w:val="28"/>
                <w:szCs w:val="28"/>
                <w:highlight w:val="none"/>
                <w:lang w:val="en-US" w:eastAsia="zh-CN"/>
              </w:rPr>
            </w:pPr>
            <w:r>
              <w:rPr>
                <w:rFonts w:hint="eastAsia" w:eastAsia="方正仿宋_GBK"/>
                <w:color w:val="auto"/>
                <w:sz w:val="28"/>
                <w:szCs w:val="28"/>
                <w:highlight w:val="none"/>
                <w:lang w:val="en-US" w:eastAsia="zh-CN"/>
              </w:rPr>
              <w:t xml:space="preserve">10</w:t>
            </w:r>
            <w:r/>
          </w:p>
        </w:tc>
        <w:tc>
          <w:tcPr>
            <w:tcW w:w="895"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1.投标人或制造商具有</w:t>
            </w:r>
            <w:r>
              <w:rPr>
                <w:rFonts w:hint="eastAsia" w:ascii="仿宋" w:hAnsi="仿宋" w:eastAsia="仿宋" w:cs="仿宋"/>
                <w:color w:val="auto"/>
                <w:sz w:val="28"/>
                <w:szCs w:val="28"/>
                <w:highlight w:val="none"/>
                <w:lang w:val="en-US" w:eastAsia="zh-CN"/>
              </w:rPr>
              <w:t xml:space="preserve">有效期内的</w:t>
            </w:r>
            <w:r>
              <w:rPr>
                <w:rFonts w:hint="eastAsia" w:ascii="仿宋" w:hAnsi="仿宋" w:eastAsia="仿宋" w:cs="仿宋"/>
                <w:color w:val="auto"/>
                <w:sz w:val="28"/>
                <w:szCs w:val="28"/>
                <w:highlight w:val="none"/>
              </w:rPr>
              <w:t xml:space="preserve">中国环境标志产品认证证书（认证内容须包含</w:t>
            </w:r>
            <w:r>
              <w:rPr>
                <w:rFonts w:hint="eastAsia" w:ascii="仿宋" w:hAnsi="仿宋" w:eastAsia="仿宋" w:cs="仿宋"/>
                <w:color w:val="auto"/>
                <w:sz w:val="28"/>
                <w:szCs w:val="28"/>
                <w:highlight w:val="none"/>
                <w:lang w:val="en-US" w:eastAsia="zh-CN"/>
              </w:rPr>
              <w:t xml:space="preserve">桌、椅或凳类</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2.投标人或制造商具有有效期内绿色产品认证证书（认证内容须包含</w:t>
            </w:r>
            <w:r>
              <w:rPr>
                <w:rFonts w:hint="eastAsia" w:ascii="仿宋" w:hAnsi="仿宋" w:eastAsia="仿宋" w:cs="仿宋"/>
                <w:color w:val="auto"/>
                <w:sz w:val="28"/>
                <w:szCs w:val="28"/>
                <w:highlight w:val="none"/>
                <w:lang w:val="en-US" w:eastAsia="zh-CN"/>
              </w:rPr>
              <w:t xml:space="preserve">桌、椅或凳类</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3.投标人或制造商具有</w:t>
            </w:r>
            <w:r>
              <w:rPr>
                <w:rFonts w:hint="eastAsia" w:ascii="仿宋" w:hAnsi="仿宋" w:eastAsia="仿宋" w:cs="仿宋"/>
                <w:color w:val="auto"/>
                <w:sz w:val="28"/>
                <w:szCs w:val="28"/>
                <w:highlight w:val="none"/>
                <w:lang w:val="en-US" w:eastAsia="zh-CN"/>
              </w:rPr>
              <w:t xml:space="preserve">有效期内的</w:t>
            </w:r>
            <w:r>
              <w:rPr>
                <w:rFonts w:hint="eastAsia" w:ascii="仿宋" w:hAnsi="仿宋" w:eastAsia="仿宋" w:cs="仿宋"/>
                <w:color w:val="auto"/>
                <w:sz w:val="28"/>
                <w:szCs w:val="28"/>
                <w:highlight w:val="none"/>
              </w:rPr>
              <w:t xml:space="preserve">家具中有害物质限量认证证书（认证内容须包含</w:t>
            </w:r>
            <w:r>
              <w:rPr>
                <w:rFonts w:hint="eastAsia" w:ascii="仿宋" w:hAnsi="仿宋" w:eastAsia="仿宋" w:cs="仿宋"/>
                <w:color w:val="auto"/>
                <w:sz w:val="28"/>
                <w:szCs w:val="28"/>
                <w:highlight w:val="none"/>
                <w:lang w:val="en-US" w:eastAsia="zh-CN"/>
              </w:rPr>
              <w:t xml:space="preserve">桌或台、椅或凳类</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4.投标人或制造商具有低VOCs家具产品认证证书（认证内容须包含</w:t>
            </w:r>
            <w:r>
              <w:rPr>
                <w:rFonts w:hint="eastAsia" w:ascii="仿宋" w:hAnsi="仿宋" w:eastAsia="仿宋" w:cs="仿宋"/>
                <w:color w:val="auto"/>
                <w:sz w:val="28"/>
                <w:szCs w:val="28"/>
                <w:highlight w:val="none"/>
                <w:lang w:val="en-US" w:eastAsia="zh-CN"/>
              </w:rPr>
              <w:t xml:space="preserve">桌、椅或凳类</w:t>
            </w:r>
            <w:r>
              <w:rPr>
                <w:rFonts w:hint="eastAsia" w:ascii="仿宋" w:hAnsi="仿宋" w:eastAsia="仿宋" w:cs="仿宋"/>
                <w:color w:val="auto"/>
                <w:sz w:val="28"/>
                <w:szCs w:val="28"/>
                <w:highlight w:val="none"/>
              </w:rPr>
              <w:t xml:space="preserve">）得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28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.投标人或制造商具有有效期内的家具防火阻燃产品认证证书</w:t>
            </w:r>
            <w:r>
              <w:rPr>
                <w:rFonts w:hint="eastAsia" w:ascii="仿宋" w:hAnsi="仿宋" w:eastAsia="仿宋" w:cs="仿宋"/>
                <w:color w:val="auto"/>
                <w:sz w:val="28"/>
                <w:szCs w:val="28"/>
                <w:highlight w:val="none"/>
                <w:lang w:val="en-US" w:eastAsia="zh-CN"/>
              </w:rPr>
              <w:t xml:space="preserve">或家具防火阻燃质量等级认证证书或产品阻燃等级认证证书</w:t>
            </w:r>
            <w:r>
              <w:rPr>
                <w:rFonts w:hint="eastAsia" w:ascii="仿宋" w:hAnsi="仿宋" w:eastAsia="仿宋" w:cs="仿宋"/>
                <w:color w:val="auto"/>
                <w:sz w:val="28"/>
                <w:szCs w:val="28"/>
                <w:highlight w:val="none"/>
              </w:rPr>
              <w:t xml:space="preserve">（认证内容须包含</w:t>
            </w:r>
            <w:r>
              <w:rPr>
                <w:rFonts w:hint="eastAsia" w:ascii="仿宋" w:hAnsi="仿宋" w:eastAsia="仿宋" w:cs="仿宋"/>
                <w:color w:val="auto"/>
                <w:sz w:val="28"/>
                <w:szCs w:val="28"/>
                <w:highlight w:val="none"/>
                <w:lang w:val="en-US" w:eastAsia="zh-CN"/>
              </w:rPr>
              <w:t xml:space="preserve">桌、椅或凳类</w:t>
            </w:r>
            <w:r>
              <w:rPr>
                <w:rFonts w:hint="eastAsia" w:ascii="仿宋" w:hAnsi="仿宋" w:eastAsia="仿宋" w:cs="仿宋"/>
                <w:color w:val="auto"/>
                <w:sz w:val="28"/>
                <w:szCs w:val="28"/>
                <w:highlight w:val="none"/>
              </w:rPr>
              <w:t xml:space="preserve">）得2分。</w:t>
            </w:r>
            <w:r/>
          </w:p>
          <w:p>
            <w:pPr>
              <w:ind w:firstLine="28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注：</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须提供有效期内的相关证书扫描件和全国认证认可信息公共服务平台查询截图，并加盖投标人公章，</w:t>
            </w:r>
            <w:r>
              <w:rPr>
                <w:rFonts w:hint="eastAsia" w:ascii="仿宋" w:hAnsi="仿宋" w:eastAsia="仿宋" w:cs="仿宋"/>
                <w:color w:val="auto"/>
                <w:sz w:val="28"/>
                <w:szCs w:val="28"/>
                <w:highlight w:val="none"/>
                <w:lang w:val="en-US" w:eastAsia="zh-CN"/>
              </w:rPr>
              <w:t xml:space="preserve">资料不全或</w:t>
            </w:r>
            <w:r>
              <w:rPr>
                <w:rFonts w:hint="eastAsia" w:ascii="仿宋" w:hAnsi="仿宋" w:eastAsia="仿宋" w:cs="仿宋"/>
                <w:color w:val="auto"/>
                <w:sz w:val="28"/>
                <w:szCs w:val="28"/>
                <w:highlight w:val="none"/>
                <w:lang w:eastAsia="zh-CN"/>
              </w:rPr>
              <w:t xml:space="preserve">不提供不得分。</w:t>
            </w:r>
            <w:r/>
          </w:p>
          <w:p>
            <w:pPr>
              <w:ind w:firstLine="28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2.投标人如不是制造商，需要提供该制造商与投标人合作的证明材料且关联本项目核心产品，</w:t>
            </w:r>
            <w:r>
              <w:rPr>
                <w:rFonts w:hint="eastAsia" w:ascii="仿宋" w:hAnsi="仿宋" w:eastAsia="仿宋" w:cs="仿宋"/>
                <w:color w:val="auto"/>
                <w:sz w:val="28"/>
                <w:szCs w:val="28"/>
                <w:highlight w:val="none"/>
                <w:lang w:eastAsia="zh-CN"/>
              </w:rPr>
              <w:t xml:space="preserve">并加盖投标人</w:t>
            </w:r>
            <w:r>
              <w:rPr>
                <w:rFonts w:hint="eastAsia" w:ascii="仿宋" w:hAnsi="仿宋" w:eastAsia="仿宋" w:cs="仿宋"/>
                <w:color w:val="auto"/>
                <w:sz w:val="28"/>
                <w:szCs w:val="28"/>
                <w:highlight w:val="none"/>
                <w:lang w:val="en-US" w:eastAsia="zh-CN"/>
              </w:rPr>
              <w:t xml:space="preserve">及</w:t>
            </w:r>
            <w:r>
              <w:rPr>
                <w:rFonts w:hint="eastAsia" w:ascii="仿宋" w:hAnsi="仿宋" w:eastAsia="仿宋" w:cs="仿宋"/>
                <w:color w:val="auto"/>
                <w:sz w:val="28"/>
                <w:szCs w:val="28"/>
                <w:highlight w:val="none"/>
                <w:lang w:eastAsia="zh-CN"/>
              </w:rPr>
              <w:t xml:space="preserve">制造商公章，</w:t>
            </w:r>
            <w:r>
              <w:rPr>
                <w:rFonts w:hint="eastAsia" w:ascii="仿宋" w:hAnsi="仿宋" w:eastAsia="仿宋" w:cs="仿宋"/>
                <w:color w:val="auto"/>
                <w:sz w:val="28"/>
                <w:szCs w:val="28"/>
                <w:highlight w:val="none"/>
                <w:lang w:val="en-US" w:eastAsia="zh-CN"/>
              </w:rPr>
              <w:t xml:space="preserve">资料不全或</w:t>
            </w:r>
            <w:r>
              <w:rPr>
                <w:rFonts w:hint="eastAsia" w:ascii="仿宋" w:hAnsi="仿宋" w:eastAsia="仿宋" w:cs="仿宋"/>
                <w:color w:val="auto"/>
                <w:sz w:val="28"/>
                <w:szCs w:val="28"/>
                <w:highlight w:val="none"/>
                <w:lang w:eastAsia="zh-CN"/>
              </w:rPr>
              <w:t xml:space="preserve">不提供不得分。</w:t>
            </w:r>
            <w:r/>
          </w:p>
        </w:tc>
        <w:tc>
          <w:tcPr>
            <w:tcW w:w="867" w:type="dxa"/>
            <w:vAlign w:val="center"/>
            <w:textDirection w:val="lrTb"/>
            <w:noWrap w:val="false"/>
          </w:tcPr>
          <w:p>
            <w:pPr>
              <w:pStyle w:val="1048"/>
              <w:ind w:firstLine="0"/>
              <w:jc w:val="center"/>
              <w:rPr>
                <w:rFonts w:eastAsia="方正仿宋_GBK"/>
                <w:color w:val="auto"/>
                <w:sz w:val="28"/>
                <w:szCs w:val="28"/>
                <w:highlight w:val="none"/>
              </w:rPr>
            </w:pPr>
            <w:r>
              <w:rPr>
                <w:rFonts w:eastAsia="方正仿宋_GBK"/>
                <w:color w:val="auto"/>
                <w:sz w:val="28"/>
                <w:szCs w:val="28"/>
                <w:highlight w:val="none"/>
              </w:rPr>
              <w:t xml:space="preserve">客观分</w:t>
            </w:r>
            <w:r/>
          </w:p>
        </w:tc>
      </w:tr>
      <w:tr>
        <w:trPr>
          <w:jc w:val="center"/>
          <w:trHeight w:val="1191"/>
        </w:trPr>
        <w:tc>
          <w:tcPr>
            <w:tcW w:w="538"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3</w:t>
            </w:r>
            <w:r/>
          </w:p>
        </w:tc>
        <w:tc>
          <w:tcPr>
            <w:tcW w:w="843" w:type="dxa"/>
            <w:vAlign w:val="center"/>
            <w:textDirection w:val="lrTb"/>
            <w:noWrap w:val="false"/>
          </w:tcPr>
          <w:p>
            <w:pPr>
              <w:jc w:val="left"/>
              <w:widowControl/>
              <w:rPr>
                <w:rFonts w:eastAsia="方正仿宋_GBK"/>
                <w:color w:val="auto"/>
                <w:sz w:val="28"/>
                <w:szCs w:val="28"/>
                <w:highlight w:val="none"/>
              </w:rPr>
            </w:pPr>
            <w:r>
              <w:rPr>
                <w:rFonts w:eastAsia="方正仿宋_GBK"/>
                <w:color w:val="auto"/>
                <w:sz w:val="28"/>
                <w:szCs w:val="28"/>
                <w:highlight w:val="none"/>
              </w:rPr>
              <w:t xml:space="preserve">质保</w:t>
            </w:r>
            <w:r/>
          </w:p>
          <w:p>
            <w:pPr>
              <w:jc w:val="left"/>
              <w:widowControl/>
              <w:rPr>
                <w:rFonts w:eastAsia="方正仿宋_GBK"/>
                <w:color w:val="auto"/>
                <w:sz w:val="28"/>
                <w:szCs w:val="28"/>
                <w:highlight w:val="none"/>
              </w:rPr>
            </w:pPr>
            <w:r>
              <w:rPr>
                <w:rFonts w:eastAsia="方正仿宋_GBK"/>
                <w:color w:val="auto"/>
                <w:sz w:val="28"/>
                <w:szCs w:val="28"/>
                <w:highlight w:val="none"/>
              </w:rPr>
              <w:t xml:space="preserve">期限</w:t>
            </w:r>
            <w:r/>
          </w:p>
        </w:tc>
        <w:tc>
          <w:tcPr>
            <w:tcW w:w="859" w:type="dxa"/>
            <w:vAlign w:val="center"/>
            <w:textDirection w:val="lrTb"/>
            <w:noWrap w:val="false"/>
          </w:tcPr>
          <w:p>
            <w:pPr>
              <w:jc w:val="center"/>
              <w:widowControl/>
              <w:rPr>
                <w:rFonts w:eastAsia="方正仿宋_GBK"/>
                <w:color w:val="auto"/>
                <w:sz w:val="28"/>
                <w:szCs w:val="28"/>
                <w:highlight w:val="none"/>
              </w:rPr>
            </w:pPr>
            <w:r>
              <w:rPr>
                <w:rFonts w:hint="eastAsia" w:eastAsia="方正仿宋_GBK"/>
                <w:color w:val="auto"/>
                <w:sz w:val="28"/>
                <w:szCs w:val="28"/>
                <w:highlight w:val="none"/>
              </w:rPr>
              <w:t xml:space="preserve">3</w:t>
            </w:r>
            <w:r/>
          </w:p>
        </w:tc>
        <w:tc>
          <w:tcPr>
            <w:tcW w:w="895"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0</w:t>
            </w:r>
            <w:r/>
          </w:p>
        </w:tc>
        <w:tc>
          <w:tcPr>
            <w:tcW w:w="5952" w:type="dxa"/>
            <w:vAlign w:val="center"/>
            <w:textDirection w:val="lrTb"/>
            <w:noWrap w:val="false"/>
          </w:tcPr>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按照招标文件要求，投标人所有投标产品须免费保修5年。承诺质保期限高于5年的，每增加1年得1分，最高得3分。</w:t>
            </w:r>
            <w:r/>
          </w:p>
          <w:p>
            <w:pPr>
              <w:jc w:val="lef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说明：投标人须提供质保承诺书，未提供的，不得分。</w:t>
            </w:r>
            <w:r/>
          </w:p>
        </w:tc>
        <w:tc>
          <w:tcPr>
            <w:tcW w:w="867" w:type="dxa"/>
            <w:vAlign w:val="center"/>
            <w:textDirection w:val="lrTb"/>
            <w:noWrap w:val="false"/>
          </w:tcPr>
          <w:p>
            <w:pPr>
              <w:jc w:val="center"/>
              <w:widowControl/>
              <w:rPr>
                <w:rFonts w:eastAsia="方正仿宋_GBK"/>
                <w:color w:val="auto"/>
                <w:sz w:val="28"/>
                <w:szCs w:val="28"/>
                <w:highlight w:val="none"/>
              </w:rPr>
            </w:pPr>
            <w:r>
              <w:rPr>
                <w:rFonts w:eastAsia="方正仿宋_GBK"/>
                <w:color w:val="auto"/>
                <w:sz w:val="28"/>
                <w:szCs w:val="28"/>
                <w:highlight w:val="none"/>
              </w:rPr>
              <w:t xml:space="preserve">客观分</w:t>
            </w:r>
            <w:bookmarkEnd w:id="184"/>
            <w:r/>
            <w:r/>
          </w:p>
        </w:tc>
      </w:tr>
    </w:tbl>
    <w:p>
      <w:pPr>
        <w:pStyle w:val="1126"/>
        <w:ind w:left="562" w:firstLine="0"/>
        <w:spacing w:before="0" w:after="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1126"/>
        <w:ind w:firstLine="561"/>
        <w:keepLines w:val="0"/>
        <w:keepNext w:val="0"/>
        <w:pageBreakBefore w:val="0"/>
        <w:spacing w:before="0" w:after="0"/>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4、技术分：14分</w:t>
      </w:r>
      <w:r/>
    </w:p>
    <w:tbl>
      <w:tblPr>
        <w:tblStyle w:val="831"/>
        <w:tblpPr w:horzAnchor="text" w:tblpX="10934" w:vertAnchor="text" w:tblpY="-1161" w:leftFromText="180" w:topFromText="0" w:rightFromText="180" w:bottomFromText="0"/>
        <w:tblW w:w="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4"/>
      </w:tblGrid>
      <w:tr>
        <w:trPr>
          <w:trHeight w:val="30"/>
        </w:trPr>
        <w:tc>
          <w:tcPr>
            <w:tcW w:w="324" w:type="dxa"/>
            <w:textDirection w:val="lrTb"/>
            <w:noWrap w:val="false"/>
          </w:tcPr>
          <w:p>
            <w:pPr>
              <w:rPr>
                <w:rFonts w:ascii="黑体" w:hAnsi="Courier New" w:eastAsia="黑体" w:cs="Courier New"/>
                <w:b/>
                <w:color w:val="auto"/>
                <w:sz w:val="44"/>
                <w:szCs w:val="21"/>
                <w:highlight w:val="none"/>
              </w:rPr>
            </w:pPr>
            <w:r>
              <w:rPr>
                <w:rFonts w:ascii="黑体" w:hAnsi="Courier New" w:eastAsia="黑体" w:cs="Courier New"/>
                <w:b/>
                <w:color w:val="auto"/>
                <w:sz w:val="44"/>
                <w:szCs w:val="21"/>
                <w:highlight w:val="none"/>
              </w:rPr>
            </w:r>
            <w:r/>
          </w:p>
        </w:tc>
      </w:tr>
    </w:tbl>
    <w:tbl>
      <w:tblPr>
        <w:tblStyle w:val="802"/>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920"/>
        <w:gridCol w:w="834"/>
        <w:gridCol w:w="874"/>
        <w:gridCol w:w="5766"/>
        <w:gridCol w:w="1062"/>
      </w:tblGrid>
      <w:tr>
        <w:trPr>
          <w:jc w:val="center"/>
          <w:trHeight w:val="323"/>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序号</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评审因素</w:t>
            </w:r>
            <w:r/>
          </w:p>
        </w:tc>
        <w:tc>
          <w:tcPr>
            <w:tcW w:w="83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最高分</w:t>
            </w:r>
            <w:r/>
          </w:p>
        </w:tc>
        <w:tc>
          <w:tcPr>
            <w:tcW w:w="874"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最低分</w:t>
            </w:r>
            <w:r/>
          </w:p>
        </w:tc>
        <w:tc>
          <w:tcPr>
            <w:tcW w:w="576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评审细则</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主/客观分</w:t>
            </w:r>
            <w:r/>
          </w:p>
        </w:tc>
      </w:tr>
      <w:tr>
        <w:trPr>
          <w:jc w:val="center"/>
          <w:trHeight w:val="516"/>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1</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项目实施方案</w:t>
            </w:r>
            <w:r/>
          </w:p>
        </w:tc>
        <w:tc>
          <w:tcPr>
            <w:tcW w:w="83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9</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项目实施方案必须包含以下</w:t>
            </w:r>
            <w:r>
              <w:rPr>
                <w:rFonts w:hint="eastAsia" w:eastAsia="方正仿宋_GBK"/>
                <w:color w:val="auto"/>
                <w:sz w:val="28"/>
                <w:szCs w:val="28"/>
                <w:highlight w:val="none"/>
              </w:rPr>
              <w:t xml:space="preserve">9</w:t>
            </w:r>
            <w:r>
              <w:rPr>
                <w:rFonts w:eastAsia="方正仿宋_GBK"/>
                <w:color w:val="auto"/>
                <w:sz w:val="28"/>
                <w:szCs w:val="28"/>
                <w:highlight w:val="none"/>
              </w:rPr>
              <w:t xml:space="preserve">项内容，评委根据</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提供的项目实施方案和评分标准逐项进行综合评分。本项最高得</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hint="eastAsia" w:eastAsia="方正仿宋_GBK"/>
                <w:color w:val="auto"/>
                <w:sz w:val="28"/>
                <w:szCs w:val="28"/>
                <w:highlight w:val="none"/>
              </w:rPr>
              <w:t xml:space="preserve">（1）资金安排（详细说明</w:t>
            </w:r>
            <w:r>
              <w:rPr>
                <w:rFonts w:eastAsia="方正仿宋_GBK"/>
                <w:color w:val="auto"/>
                <w:sz w:val="28"/>
                <w:szCs w:val="28"/>
                <w:highlight w:val="none"/>
              </w:rPr>
              <w:t xml:space="preserve">①</w:t>
            </w:r>
            <w:r>
              <w:rPr>
                <w:rFonts w:hint="eastAsia" w:eastAsia="方正仿宋_GBK"/>
                <w:color w:val="auto"/>
                <w:sz w:val="28"/>
                <w:szCs w:val="28"/>
                <w:highlight w:val="none"/>
              </w:rPr>
              <w:t xml:space="preserve">资金来源：如自有资金、贷款等方式；</w:t>
            </w:r>
            <w:r>
              <w:rPr>
                <w:rFonts w:eastAsia="方正仿宋_GBK"/>
                <w:color w:val="auto"/>
                <w:sz w:val="28"/>
                <w:szCs w:val="28"/>
                <w:highlight w:val="none"/>
              </w:rPr>
              <w:t xml:space="preserve">②</w:t>
            </w:r>
            <w:r>
              <w:rPr>
                <w:rFonts w:hint="eastAsia" w:eastAsia="方正仿宋_GBK"/>
                <w:color w:val="auto"/>
                <w:sz w:val="28"/>
                <w:szCs w:val="28"/>
                <w:highlight w:val="none"/>
              </w:rPr>
              <w:t xml:space="preserve">资金分配科学性：核心环节占比如何合理安排—</w:t>
            </w:r>
            <w:bookmarkStart w:id="190" w:name="_GoBack"/>
            <w:r/>
            <w:bookmarkEnd w:id="190"/>
            <w:r>
              <w:rPr>
                <w:rFonts w:hint="eastAsia" w:eastAsia="方正仿宋_GBK"/>
                <w:color w:val="auto"/>
                <w:sz w:val="28"/>
                <w:szCs w:val="28"/>
                <w:highlight w:val="none"/>
              </w:rPr>
              <w:t xml:space="preserve">关键资源的采购、核心业务等方面的投入）</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2</w:t>
            </w:r>
            <w:r>
              <w:rPr>
                <w:rFonts w:eastAsia="方正仿宋_GBK"/>
                <w:color w:val="auto"/>
                <w:sz w:val="28"/>
                <w:szCs w:val="28"/>
                <w:highlight w:val="none"/>
              </w:rPr>
              <w:t xml:space="preserve">）原材料准备情况和用料明细</w:t>
            </w:r>
            <w:r>
              <w:rPr>
                <w:rFonts w:hint="eastAsia" w:eastAsia="方正仿宋_GBK"/>
                <w:color w:val="auto"/>
                <w:sz w:val="28"/>
                <w:szCs w:val="28"/>
                <w:highlight w:val="none"/>
              </w:rPr>
              <w:t xml:space="preserve">以及</w:t>
            </w:r>
            <w:r>
              <w:rPr>
                <w:rFonts w:eastAsia="方正仿宋_GBK"/>
                <w:color w:val="auto"/>
                <w:sz w:val="28"/>
                <w:szCs w:val="28"/>
                <w:highlight w:val="none"/>
              </w:rPr>
              <w:t xml:space="preserve">生产设备情况（包含相关原料、物料的名称、品牌、生产商、数量</w:t>
            </w:r>
            <w:r>
              <w:rPr>
                <w:rFonts w:hint="eastAsia" w:eastAsia="方正仿宋_GBK"/>
                <w:color w:val="auto"/>
                <w:sz w:val="28"/>
                <w:szCs w:val="28"/>
                <w:highlight w:val="none"/>
              </w:rPr>
              <w:t xml:space="preserve">，生产设备</w:t>
            </w:r>
            <w:r>
              <w:rPr>
                <w:rFonts w:eastAsia="方正仿宋_GBK"/>
                <w:color w:val="auto"/>
                <w:sz w:val="28"/>
                <w:szCs w:val="28"/>
                <w:highlight w:val="none"/>
              </w:rPr>
              <w:t xml:space="preserve">以图文形式说明设备的功能，标注自有或租赁，自有设备须标明具体位置等信息）</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3</w:t>
            </w:r>
            <w:r>
              <w:rPr>
                <w:rFonts w:eastAsia="方正仿宋_GBK"/>
                <w:color w:val="auto"/>
                <w:sz w:val="28"/>
                <w:szCs w:val="28"/>
                <w:highlight w:val="none"/>
              </w:rPr>
              <w:t xml:space="preserve">）人员配置及分工情况（以表格形式说明为完成本项目，人员岗位、工作内容及相互配合等情况）</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4</w:t>
            </w:r>
            <w:r>
              <w:rPr>
                <w:rFonts w:eastAsia="方正仿宋_GBK"/>
                <w:color w:val="auto"/>
                <w:sz w:val="28"/>
                <w:szCs w:val="28"/>
                <w:highlight w:val="none"/>
              </w:rPr>
              <w:t xml:space="preserve">）生产技术工艺说明（以图文形式呈现如何响应标书要求）</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5</w:t>
            </w:r>
            <w:r>
              <w:rPr>
                <w:rFonts w:eastAsia="方正仿宋_GBK"/>
                <w:color w:val="auto"/>
                <w:sz w:val="28"/>
                <w:szCs w:val="28"/>
                <w:highlight w:val="none"/>
              </w:rPr>
              <w:t xml:space="preserve">）生产供货安装方案</w:t>
            </w:r>
            <w:r>
              <w:rPr>
                <w:rFonts w:hint="eastAsia" w:eastAsia="方正仿宋_GBK"/>
                <w:color w:val="auto"/>
                <w:sz w:val="28"/>
                <w:szCs w:val="28"/>
                <w:highlight w:val="none"/>
              </w:rPr>
              <w:t xml:space="preserve">及承诺</w:t>
            </w:r>
            <w:r>
              <w:rPr>
                <w:rFonts w:eastAsia="方正仿宋_GBK"/>
                <w:color w:val="auto"/>
                <w:sz w:val="28"/>
                <w:szCs w:val="28"/>
                <w:highlight w:val="none"/>
              </w:rPr>
              <w:t xml:space="preserve">（清晰明了地反映生产运输安装等各环节时间节点，最小时间单位必要时应精确到日历天</w:t>
            </w:r>
            <w:r>
              <w:rPr>
                <w:rFonts w:hint="eastAsia" w:eastAsia="方正仿宋_GBK"/>
                <w:color w:val="auto"/>
                <w:sz w:val="28"/>
                <w:szCs w:val="28"/>
                <w:highlight w:val="none"/>
              </w:rPr>
              <w:t xml:space="preserve">及供货安装承诺</w:t>
            </w:r>
            <w:r>
              <w:rPr>
                <w:rFonts w:eastAsia="方正仿宋_GBK"/>
                <w:color w:val="auto"/>
                <w:sz w:val="28"/>
                <w:szCs w:val="28"/>
                <w:highlight w:val="none"/>
              </w:rPr>
              <w:t xml:space="preserve">）</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6</w:t>
            </w:r>
            <w:r>
              <w:rPr>
                <w:rFonts w:eastAsia="方正仿宋_GBK"/>
                <w:color w:val="auto"/>
                <w:sz w:val="28"/>
                <w:szCs w:val="28"/>
                <w:highlight w:val="none"/>
              </w:rPr>
              <w:t xml:space="preserve">）</w:t>
            </w:r>
            <w:r>
              <w:rPr>
                <w:rFonts w:hint="eastAsia" w:eastAsia="方正仿宋_GBK"/>
                <w:color w:val="auto"/>
                <w:sz w:val="28"/>
                <w:szCs w:val="28"/>
                <w:highlight w:val="none"/>
              </w:rPr>
              <w:t xml:space="preserve">生产进度安排、</w:t>
            </w:r>
            <w:r>
              <w:rPr>
                <w:rFonts w:eastAsia="方正仿宋_GBK"/>
                <w:color w:val="auto"/>
                <w:sz w:val="28"/>
                <w:szCs w:val="28"/>
                <w:highlight w:val="none"/>
              </w:rPr>
              <w:t xml:space="preserve">生产过程控制说明（说明确保时间节点、生产工艺和产品质量等的方法）</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）安全文明措施方案（说明在厂在校等不同时空下的安全生产、文明施工措施）</w:t>
            </w:r>
            <w:r/>
          </w:p>
          <w:p>
            <w:pPr>
              <w:rPr>
                <w:rFonts w:eastAsia="方正仿宋_GBK"/>
                <w:color w:val="auto"/>
                <w:sz w:val="28"/>
                <w:szCs w:val="28"/>
                <w:highlight w:val="none"/>
              </w:rPr>
            </w:pPr>
            <w:r>
              <w:rPr>
                <w:rFonts w:hint="eastAsia" w:eastAsia="方正仿宋_GBK"/>
                <w:color w:val="auto"/>
                <w:sz w:val="28"/>
                <w:szCs w:val="28"/>
                <w:highlight w:val="none"/>
              </w:rPr>
              <w:t xml:space="preserve">（8）验收方案（制定合理详细的验收方案）</w:t>
            </w:r>
            <w:r/>
          </w:p>
          <w:p>
            <w:pPr>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9</w:t>
            </w:r>
            <w:r>
              <w:rPr>
                <w:rFonts w:eastAsia="方正仿宋_GBK"/>
                <w:color w:val="auto"/>
                <w:sz w:val="28"/>
                <w:szCs w:val="28"/>
                <w:highlight w:val="none"/>
              </w:rPr>
              <w:t xml:space="preserve">）应急预案（说明出现安全生产问题、产品质量问题、工期进度问题、生产运输安装各环节衔接问题等情况下的应对方案）</w:t>
            </w:r>
            <w:r/>
          </w:p>
          <w:p>
            <w:pPr>
              <w:pStyle w:val="793"/>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方案内</w:t>
            </w:r>
            <w:r>
              <w:rPr>
                <w:rFonts w:hint="eastAsia" w:eastAsia="方正仿宋_GBK"/>
                <w:color w:val="auto"/>
                <w:sz w:val="28"/>
                <w:szCs w:val="28"/>
                <w:highlight w:val="none"/>
              </w:rPr>
              <w:t xml:space="preserve">各</w:t>
            </w:r>
            <w:r>
              <w:rPr>
                <w:rFonts w:eastAsia="方正仿宋_GBK"/>
                <w:color w:val="auto"/>
                <w:sz w:val="28"/>
                <w:szCs w:val="28"/>
                <w:highlight w:val="none"/>
              </w:rPr>
              <w:t xml:space="preserve">项内容科学合理、针对性强、步骤清晰、可操作性高的，</w:t>
            </w:r>
            <w:r>
              <w:rPr>
                <w:rFonts w:hint="eastAsia" w:eastAsia="方正仿宋_GBK"/>
                <w:color w:val="auto"/>
                <w:sz w:val="28"/>
                <w:szCs w:val="28"/>
                <w:highlight w:val="none"/>
              </w:rPr>
              <w:t xml:space="preserve">该</w:t>
            </w:r>
            <w:r>
              <w:rPr>
                <w:rFonts w:eastAsia="方正仿宋_GBK"/>
                <w:color w:val="auto"/>
                <w:sz w:val="28"/>
                <w:szCs w:val="28"/>
                <w:highlight w:val="none"/>
              </w:rPr>
              <w:t xml:space="preserve">项内容得1分；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方案内</w:t>
            </w:r>
            <w:r>
              <w:rPr>
                <w:rFonts w:hint="eastAsia" w:eastAsia="方正仿宋_GBK"/>
                <w:color w:val="auto"/>
                <w:sz w:val="28"/>
                <w:szCs w:val="28"/>
                <w:highlight w:val="none"/>
              </w:rPr>
              <w:t xml:space="preserve">各</w:t>
            </w:r>
            <w:r>
              <w:rPr>
                <w:rFonts w:eastAsia="方正仿宋_GBK"/>
                <w:color w:val="auto"/>
                <w:sz w:val="28"/>
                <w:szCs w:val="28"/>
                <w:highlight w:val="none"/>
              </w:rPr>
              <w:t xml:space="preserve">项内容基本合理、针对性较强、步骤合理、可操作性较高的，</w:t>
            </w:r>
            <w:r>
              <w:rPr>
                <w:rFonts w:hint="eastAsia" w:eastAsia="方正仿宋_GBK"/>
                <w:color w:val="auto"/>
                <w:sz w:val="28"/>
                <w:szCs w:val="28"/>
                <w:highlight w:val="none"/>
              </w:rPr>
              <w:t xml:space="preserve">该</w:t>
            </w:r>
            <w:r>
              <w:rPr>
                <w:rFonts w:eastAsia="方正仿宋_GBK"/>
                <w:color w:val="auto"/>
                <w:sz w:val="28"/>
                <w:szCs w:val="28"/>
                <w:highlight w:val="none"/>
              </w:rPr>
              <w:t xml:space="preserve">项内容得0.</w:t>
            </w:r>
            <w:r>
              <w:rPr>
                <w:rFonts w:hint="eastAsia" w:eastAsia="方正仿宋_GBK"/>
                <w:color w:val="auto"/>
                <w:sz w:val="28"/>
                <w:szCs w:val="28"/>
                <w:highlight w:val="none"/>
                <w:lang w:val="en-US" w:eastAsia="zh-CN"/>
              </w:rPr>
              <w:t xml:space="preserve">6</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方案内</w:t>
            </w:r>
            <w:r>
              <w:rPr>
                <w:rFonts w:hint="eastAsia" w:eastAsia="方正仿宋_GBK"/>
                <w:color w:val="auto"/>
                <w:sz w:val="28"/>
                <w:szCs w:val="28"/>
                <w:highlight w:val="none"/>
              </w:rPr>
              <w:t xml:space="preserve">各</w:t>
            </w:r>
            <w:r>
              <w:rPr>
                <w:rFonts w:eastAsia="方正仿宋_GBK"/>
                <w:color w:val="auto"/>
                <w:sz w:val="28"/>
                <w:szCs w:val="28"/>
                <w:highlight w:val="none"/>
              </w:rPr>
              <w:t xml:space="preserve">项内容一般、有一定的针对性、可行性一般及可操作性的，</w:t>
            </w:r>
            <w:r>
              <w:rPr>
                <w:rFonts w:hint="eastAsia" w:eastAsia="方正仿宋_GBK"/>
                <w:color w:val="auto"/>
                <w:sz w:val="28"/>
                <w:szCs w:val="28"/>
                <w:highlight w:val="none"/>
              </w:rPr>
              <w:t xml:space="preserve">该</w:t>
            </w:r>
            <w:r>
              <w:rPr>
                <w:rFonts w:eastAsia="方正仿宋_GBK"/>
                <w:color w:val="auto"/>
                <w:sz w:val="28"/>
                <w:szCs w:val="28"/>
                <w:highlight w:val="none"/>
              </w:rPr>
              <w:t xml:space="preserve">项内容得0.3分；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方案内</w:t>
            </w:r>
            <w:r>
              <w:rPr>
                <w:rFonts w:hint="eastAsia" w:eastAsia="方正仿宋_GBK"/>
                <w:color w:val="auto"/>
                <w:sz w:val="28"/>
                <w:szCs w:val="28"/>
                <w:highlight w:val="none"/>
              </w:rPr>
              <w:t xml:space="preserve">各</w:t>
            </w:r>
            <w:r>
              <w:rPr>
                <w:rFonts w:eastAsia="方正仿宋_GBK"/>
                <w:color w:val="auto"/>
                <w:sz w:val="28"/>
                <w:szCs w:val="28"/>
                <w:highlight w:val="none"/>
              </w:rPr>
              <w:t xml:space="preserve">项内容不合理、无针对性和无可行或未提供方案的，得0分。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主</w:t>
            </w:r>
            <w:r>
              <w:rPr>
                <w:rFonts w:eastAsia="方正仿宋_GBK"/>
                <w:color w:val="auto"/>
                <w:sz w:val="28"/>
                <w:szCs w:val="28"/>
                <w:highlight w:val="none"/>
              </w:rPr>
              <w:t xml:space="preserve">观分</w:t>
            </w:r>
            <w:r/>
          </w:p>
        </w:tc>
      </w:tr>
      <w:tr>
        <w:trPr>
          <w:jc w:val="center"/>
          <w:trHeight w:val="1082"/>
        </w:trPr>
        <w:tc>
          <w:tcPr>
            <w:tcW w:w="496"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2</w:t>
            </w:r>
            <w:r/>
          </w:p>
        </w:tc>
        <w:tc>
          <w:tcPr>
            <w:tcW w:w="920"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售后服务保障方案</w:t>
            </w:r>
            <w:r/>
          </w:p>
        </w:tc>
        <w:tc>
          <w:tcPr>
            <w:tcW w:w="834" w:type="dxa"/>
            <w:vAlign w:val="center"/>
            <w:textDirection w:val="lrTb"/>
            <w:noWrap w:val="false"/>
          </w:tcPr>
          <w:p>
            <w:pPr>
              <w:jc w:val="center"/>
              <w:rPr>
                <w:rFonts w:hint="eastAsia" w:eastAsia="方正仿宋_GBK"/>
                <w:color w:val="auto"/>
                <w:sz w:val="28"/>
                <w:szCs w:val="28"/>
                <w:highlight w:val="none"/>
                <w:lang w:eastAsia="zh-CN"/>
              </w:rPr>
            </w:pPr>
            <w:r>
              <w:rPr>
                <w:rFonts w:hint="eastAsia" w:eastAsia="方正仿宋_GBK"/>
                <w:color w:val="auto"/>
                <w:sz w:val="28"/>
                <w:szCs w:val="28"/>
                <w:highlight w:val="none"/>
                <w:lang w:val="en-US" w:eastAsia="zh-CN"/>
              </w:rPr>
              <w:t xml:space="preserve">5</w:t>
            </w:r>
            <w:r/>
          </w:p>
        </w:tc>
        <w:tc>
          <w:tcPr>
            <w:tcW w:w="874" w:type="dxa"/>
            <w:vAlign w:val="center"/>
            <w:textDirection w:val="lrTb"/>
            <w:noWrap w:val="false"/>
          </w:tcPr>
          <w:p>
            <w:pPr>
              <w:jc w:val="center"/>
              <w:rPr>
                <w:rFonts w:eastAsia="方正仿宋_GBK"/>
                <w:color w:val="auto"/>
                <w:sz w:val="28"/>
                <w:szCs w:val="28"/>
                <w:highlight w:val="none"/>
              </w:rPr>
            </w:pPr>
            <w:r>
              <w:rPr>
                <w:rFonts w:hint="eastAsia" w:eastAsia="方正仿宋_GBK"/>
                <w:color w:val="auto"/>
                <w:sz w:val="28"/>
                <w:szCs w:val="28"/>
                <w:highlight w:val="none"/>
              </w:rPr>
              <w:t xml:space="preserve">0</w:t>
            </w:r>
            <w:r/>
          </w:p>
        </w:tc>
        <w:tc>
          <w:tcPr>
            <w:tcW w:w="5766" w:type="dxa"/>
            <w:vAlign w:val="center"/>
            <w:textDirection w:val="lrTb"/>
            <w:noWrap w:val="false"/>
          </w:tcPr>
          <w:p>
            <w:pPr>
              <w:rPr>
                <w:rFonts w:eastAsia="方正仿宋_GBK"/>
                <w:color w:val="auto"/>
                <w:sz w:val="28"/>
                <w:szCs w:val="28"/>
                <w:highlight w:val="none"/>
              </w:rPr>
            </w:pPr>
            <w:r>
              <w:rPr>
                <w:rFonts w:eastAsia="方正仿宋_GBK"/>
                <w:color w:val="auto"/>
                <w:sz w:val="28"/>
                <w:szCs w:val="28"/>
                <w:highlight w:val="none"/>
              </w:rPr>
              <w:t xml:space="preserve">评委根据</w:t>
            </w:r>
            <w:r>
              <w:rPr>
                <w:rFonts w:hint="eastAsia" w:eastAsia="方正仿宋_GBK"/>
                <w:color w:val="auto"/>
                <w:sz w:val="28"/>
                <w:szCs w:val="28"/>
                <w:highlight w:val="none"/>
              </w:rPr>
              <w:t xml:space="preserve">投标人</w:t>
            </w:r>
            <w:r>
              <w:rPr>
                <w:rFonts w:eastAsia="方正仿宋_GBK"/>
                <w:color w:val="auto"/>
                <w:sz w:val="28"/>
                <w:szCs w:val="28"/>
                <w:highlight w:val="none"/>
              </w:rPr>
              <w:t xml:space="preserve">承诺的售后服务保障方案（含售后服务承诺及保修细则、服务质量保证标准、</w:t>
            </w:r>
            <w:r>
              <w:rPr>
                <w:rFonts w:hint="eastAsia" w:eastAsia="方正仿宋_GBK"/>
                <w:color w:val="auto"/>
                <w:sz w:val="28"/>
                <w:szCs w:val="28"/>
                <w:highlight w:val="none"/>
              </w:rPr>
              <w:t xml:space="preserve">优惠条件承诺</w:t>
            </w:r>
            <w:r>
              <w:rPr>
                <w:rFonts w:eastAsia="方正仿宋_GBK"/>
                <w:color w:val="auto"/>
                <w:sz w:val="28"/>
                <w:szCs w:val="28"/>
                <w:highlight w:val="none"/>
              </w:rPr>
              <w:t xml:space="preserve">服务体系说明、售后服务人员和工具配备、现场服务措施、故障解决能力及应急服务响应方案等）进行评分：</w:t>
            </w:r>
            <w:r/>
          </w:p>
          <w:p>
            <w:pPr>
              <w:pStyle w:val="793"/>
              <w:rPr>
                <w:rFonts w:eastAsia="方正仿宋_GBK"/>
                <w:color w:val="auto"/>
                <w:highlight w:val="none"/>
              </w:rPr>
            </w:pPr>
            <w:r>
              <w:rPr>
                <w:rFonts w:hint="eastAsia" w:eastAsia="方正仿宋_GBK"/>
                <w:color w:val="auto"/>
                <w:sz w:val="28"/>
                <w:szCs w:val="28"/>
                <w:highlight w:val="none"/>
              </w:rPr>
              <w:t xml:space="preserve">说明：</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1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①</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售后服务响应专业且全面、服务内容全面、服务保障体系完善，要素体系完整的得</w:t>
            </w:r>
            <w:r>
              <w:rPr>
                <w:rFonts w:hint="eastAsia" w:eastAsia="方正仿宋_GBK"/>
                <w:color w:val="auto"/>
                <w:sz w:val="28"/>
                <w:szCs w:val="28"/>
                <w:highlight w:val="none"/>
                <w:lang w:val="en-US" w:eastAsia="zh-CN"/>
              </w:rPr>
              <w:t xml:space="preserve">5</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2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②</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售后服务内容及响应较完善、服务保障体系较完善，要素体系较完整的得</w:t>
            </w:r>
            <w:r>
              <w:rPr>
                <w:rFonts w:hint="eastAsia" w:eastAsia="方正仿宋_GBK"/>
                <w:color w:val="auto"/>
                <w:sz w:val="28"/>
                <w:szCs w:val="28"/>
                <w:highlight w:val="none"/>
                <w:lang w:val="en-US" w:eastAsia="zh-CN"/>
              </w:rPr>
              <w:t xml:space="preserve">3</w:t>
            </w:r>
            <w:r>
              <w:rPr>
                <w:rFonts w:eastAsia="方正仿宋_GBK"/>
                <w:color w:val="auto"/>
                <w:sz w:val="28"/>
                <w:szCs w:val="28"/>
                <w:highlight w:val="none"/>
              </w:rPr>
              <w:t xml:space="preserve">分；</w:t>
            </w:r>
            <w:r/>
          </w:p>
          <w:p>
            <w:pPr>
              <w:rPr>
                <w:rFonts w:eastAsia="方正仿宋_GBK"/>
                <w:color w:val="auto"/>
                <w:sz w:val="28"/>
                <w:szCs w:val="28"/>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3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③</w:t>
            </w:r>
            <w:r>
              <w:rPr>
                <w:rFonts w:eastAsia="方正仿宋_GBK"/>
                <w:color w:val="auto"/>
                <w:sz w:val="28"/>
                <w:szCs w:val="28"/>
                <w:highlight w:val="none"/>
              </w:rPr>
              <w:fldChar w:fldCharType="end"/>
            </w:r>
            <w:r>
              <w:rPr>
                <w:rFonts w:eastAsia="方正仿宋_GBK"/>
                <w:color w:val="auto"/>
                <w:sz w:val="28"/>
                <w:szCs w:val="28"/>
                <w:highlight w:val="none"/>
              </w:rPr>
              <w:t xml:space="preserve">售后服务内容及响应欠缺、服务保障体系欠缺，要素体系欠缺的得1分；</w:t>
            </w:r>
            <w:r/>
          </w:p>
          <w:p>
            <w:pPr>
              <w:rPr>
                <w:color w:val="auto"/>
                <w:highlight w:val="none"/>
              </w:rPr>
            </w:pPr>
            <w:r>
              <w:rPr>
                <w:rFonts w:eastAsia="方正仿宋_GBK"/>
                <w:color w:val="auto"/>
                <w:sz w:val="28"/>
                <w:szCs w:val="28"/>
                <w:highlight w:val="none"/>
              </w:rPr>
              <w:fldChar w:fldCharType="begin"/>
            </w:r>
            <w:r>
              <w:rPr>
                <w:rFonts w:eastAsia="方正仿宋_GBK"/>
                <w:color w:val="auto"/>
                <w:sz w:val="28"/>
                <w:szCs w:val="28"/>
                <w:highlight w:val="none"/>
              </w:rPr>
              <w:instrText xml:space="preserve"> = 4 \* GB3 </w:instrText>
            </w:r>
            <w:r>
              <w:rPr>
                <w:rFonts w:eastAsia="方正仿宋_GBK"/>
                <w:color w:val="auto"/>
                <w:sz w:val="28"/>
                <w:szCs w:val="28"/>
                <w:highlight w:val="none"/>
              </w:rPr>
              <w:fldChar w:fldCharType="separate"/>
            </w:r>
            <w:r>
              <w:rPr>
                <w:rFonts w:eastAsia="方正仿宋_GBK"/>
                <w:color w:val="auto"/>
                <w:sz w:val="28"/>
                <w:szCs w:val="28"/>
                <w:highlight w:val="none"/>
              </w:rPr>
              <w:t xml:space="preserve">④</w:t>
            </w:r>
            <w:r>
              <w:rPr>
                <w:rFonts w:eastAsia="方正仿宋_GBK"/>
                <w:color w:val="auto"/>
                <w:sz w:val="28"/>
                <w:szCs w:val="28"/>
                <w:highlight w:val="none"/>
              </w:rPr>
              <w:fldChar w:fldCharType="end"/>
            </w:r>
            <w:r>
              <w:rPr>
                <w:rFonts w:eastAsia="方正仿宋_GBK"/>
                <w:color w:val="auto"/>
                <w:sz w:val="28"/>
                <w:szCs w:val="28"/>
                <w:highlight w:val="none"/>
              </w:rPr>
              <w:t xml:space="preserve">方案不合理、无可行、没有针对性或未提供方案的，得0分。</w:t>
            </w:r>
            <w:r/>
          </w:p>
        </w:tc>
        <w:tc>
          <w:tcPr>
            <w:tcW w:w="1062" w:type="dxa"/>
            <w:vAlign w:val="center"/>
            <w:textDirection w:val="lrTb"/>
            <w:noWrap w:val="false"/>
          </w:tcPr>
          <w:p>
            <w:pPr>
              <w:jc w:val="center"/>
              <w:rPr>
                <w:rFonts w:eastAsia="方正仿宋_GBK"/>
                <w:color w:val="auto"/>
                <w:sz w:val="28"/>
                <w:szCs w:val="28"/>
                <w:highlight w:val="none"/>
              </w:rPr>
            </w:pPr>
            <w:r>
              <w:rPr>
                <w:rFonts w:eastAsia="方正仿宋_GBK"/>
                <w:color w:val="auto"/>
                <w:sz w:val="28"/>
                <w:szCs w:val="28"/>
                <w:highlight w:val="none"/>
              </w:rPr>
              <w:t xml:space="preserve">主观分</w:t>
            </w:r>
            <w:r/>
          </w:p>
        </w:tc>
      </w:tr>
    </w:tbl>
    <w:p>
      <w:pPr>
        <w:rPr>
          <w:rFonts w:ascii="黑体" w:hAnsi="Courier New" w:eastAsia="黑体" w:cs="Courier New"/>
          <w:b/>
          <w:color w:val="auto"/>
          <w:sz w:val="44"/>
          <w:szCs w:val="21"/>
          <w:highlight w:val="none"/>
        </w:rPr>
      </w:pPr>
      <w:r>
        <w:rPr>
          <w:rFonts w:ascii="黑体" w:hAnsi="Courier New" w:eastAsia="黑体" w:cs="Courier New"/>
          <w:b/>
          <w:color w:val="auto"/>
          <w:sz w:val="44"/>
          <w:szCs w:val="21"/>
          <w:highlight w:val="none"/>
        </w:rPr>
      </w:r>
      <w:r/>
    </w:p>
    <w:p>
      <w:pPr>
        <w:pStyle w:val="927"/>
        <w:ind w:firstLine="0"/>
        <w:jc w:val="center"/>
        <w:pageBreakBefore/>
        <w:rPr>
          <w:rFonts w:ascii="黑体" w:hAnsi="Courier New" w:eastAsia="黑体" w:cs="Courier New"/>
          <w:b/>
          <w:color w:val="auto"/>
          <w:sz w:val="44"/>
          <w:szCs w:val="21"/>
          <w:highlight w:val="none"/>
          <w:lang w:eastAsia="zh-CN"/>
        </w:rPr>
      </w:pPr>
      <w:r>
        <w:rPr>
          <w:rFonts w:hint="eastAsia" w:ascii="黑体" w:hAnsi="Courier New" w:eastAsia="黑体" w:cs="Courier New"/>
          <w:b/>
          <w:color w:val="auto"/>
          <w:sz w:val="44"/>
          <w:szCs w:val="21"/>
          <w:highlight w:val="none"/>
          <w:lang w:eastAsia="zh-CN"/>
        </w:rPr>
        <w:t xml:space="preserve">第六章  投标</w:t>
      </w:r>
      <w:bookmarkEnd w:id="175"/>
      <w:r/>
      <w:bookmarkEnd w:id="176"/>
      <w:r/>
      <w:bookmarkEnd w:id="177"/>
      <w:r>
        <w:rPr>
          <w:rFonts w:hint="eastAsia" w:ascii="黑体" w:hAnsi="Courier New" w:eastAsia="黑体" w:cs="Courier New"/>
          <w:b/>
          <w:color w:val="auto"/>
          <w:sz w:val="44"/>
          <w:szCs w:val="21"/>
          <w:highlight w:val="none"/>
          <w:lang w:eastAsia="zh-CN"/>
        </w:rPr>
        <w:t xml:space="preserve">文件格式</w:t>
      </w:r>
      <w:r/>
    </w:p>
    <w:p>
      <w:pPr>
        <w:jc w:val="center"/>
        <w:spacing w:line="360" w:lineRule="auto"/>
        <w:rPr>
          <w:rFonts w:hint="eastAsia" w:ascii="宋体" w:hAnsi="宋体"/>
          <w:b/>
          <w:color w:val="auto"/>
          <w:sz w:val="72"/>
          <w:szCs w:val="21"/>
          <w:highlight w:val="none"/>
        </w:rPr>
      </w:pPr>
      <w:r/>
      <w:bookmarkStart w:id="185" w:name="_Hlt26671244"/>
      <w:r/>
      <w:bookmarkEnd w:id="185"/>
      <w:r/>
      <w:bookmarkStart w:id="186" w:name="_Hlt26955039"/>
      <w:r/>
      <w:bookmarkEnd w:id="186"/>
      <w:r/>
      <w:bookmarkStart w:id="187" w:name="_Toc26554094"/>
      <w:r/>
      <w:bookmarkStart w:id="188" w:name="_Toc49090576"/>
      <w:r/>
      <w:bookmarkStart w:id="189" w:name="_Toc120614282"/>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eastAsia="zh-CN"/>
        </w:rPr>
        <w:t xml:space="preserve">南通职业大学钟秀校区课桌椅采购项目（重新采购）</w:t>
      </w:r>
      <w:r>
        <w:rPr>
          <w:rFonts w:hint="eastAsia" w:ascii="宋体" w:hAnsi="宋体"/>
          <w:b/>
          <w:color w:val="auto"/>
          <w:sz w:val="36"/>
          <w:szCs w:val="21"/>
          <w:highlight w:val="none"/>
          <w:u w:val="single"/>
        </w:rPr>
        <w:t xml:space="preserve">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Cs/>
          <w:color w:val="auto"/>
          <w:sz w:val="36"/>
          <w:szCs w:val="21"/>
          <w:highlight w:val="none"/>
          <w:u w:val="single"/>
        </w:rPr>
        <w:t xml:space="preserve">  </w:t>
      </w:r>
      <w:r>
        <w:rPr>
          <w:rFonts w:hint="eastAsia" w:ascii="宋体" w:hAnsi="宋体"/>
          <w:bCs/>
          <w:color w:val="auto"/>
          <w:sz w:val="36"/>
          <w:szCs w:val="21"/>
          <w:highlight w:val="none"/>
          <w:u w:val="single"/>
          <w:lang w:eastAsia="zh-CN"/>
        </w:rPr>
        <w:t xml:space="preserve">JSZC-320600-JZCG-G2025-0217</w:t>
      </w:r>
      <w:r>
        <w:rPr>
          <w:rFonts w:hint="eastAsia" w:ascii="宋体" w:hAnsi="宋体"/>
          <w:bCs/>
          <w:color w:val="auto"/>
          <w:sz w:val="36"/>
          <w:szCs w:val="21"/>
          <w:highlight w:val="none"/>
          <w:u w:val="single"/>
        </w:rPr>
        <w:t xml:space="preserve">  </w:t>
      </w:r>
      <w:r>
        <w:rPr>
          <w:bCs/>
          <w:color w:val="auto"/>
          <w:sz w:val="36"/>
          <w:szCs w:val="21"/>
          <w:highlight w:val="none"/>
          <w:u w:val="single"/>
        </w:rPr>
        <w:t xml:space="preserve"> </w:t>
      </w:r>
      <w:r>
        <w:rPr>
          <w:rFonts w:hint="eastAsia" w:ascii="宋体" w:hAnsi="宋体"/>
          <w:b/>
          <w:color w:val="auto"/>
          <w:sz w:val="36"/>
          <w:szCs w:val="21"/>
          <w:highlight w:val="none"/>
          <w:u w:val="single"/>
        </w:rPr>
        <w:t xml:space="preserve">                </w:t>
      </w:r>
      <w:r/>
    </w:p>
    <w:p>
      <w:pPr>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                  </w:t>
      </w:r>
      <w:r/>
    </w:p>
    <w:p>
      <w:pPr>
        <w:spacing w:line="360" w:lineRule="auto"/>
        <w:rPr>
          <w:rFonts w:hint="eastAsia" w:ascii="宋体" w:hAnsi="宋体"/>
          <w:b/>
          <w:bCs/>
          <w:color w:val="auto"/>
          <w:sz w:val="36"/>
          <w:szCs w:val="36"/>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keepLines w:val="0"/>
        <w:keepNext w:val="0"/>
        <w:pageBreakBefore/>
        <w:spacing w:line="360" w:lineRule="auto"/>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一、基本目录</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开标一览表（格式见附件</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投标分项报价表（格式见</w:t>
      </w:r>
      <w:r>
        <w:rPr>
          <w:rFonts w:ascii="仿宋" w:hAnsi="仿宋" w:eastAsia="仿宋"/>
          <w:color w:val="auto"/>
          <w:sz w:val="28"/>
          <w:szCs w:val="28"/>
          <w:highlight w:val="none"/>
        </w:rPr>
        <w:t xml:space="preserve">附件2</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技术要求响应及偏离表（格式见</w:t>
      </w:r>
      <w:r>
        <w:rPr>
          <w:rFonts w:ascii="仿宋" w:hAnsi="仿宋" w:eastAsia="仿宋"/>
          <w:color w:val="auto"/>
          <w:sz w:val="28"/>
          <w:szCs w:val="28"/>
          <w:highlight w:val="none"/>
        </w:rPr>
        <w:t xml:space="preserve">附件3</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商务要求响应及偏离表（格式见</w:t>
      </w:r>
      <w:r>
        <w:rPr>
          <w:rFonts w:ascii="仿宋" w:hAnsi="仿宋" w:eastAsia="仿宋"/>
          <w:color w:val="auto"/>
          <w:sz w:val="28"/>
          <w:szCs w:val="28"/>
          <w:highlight w:val="none"/>
        </w:rPr>
        <w:t xml:space="preserve">附件4</w:t>
      </w:r>
      <w:r>
        <w:rPr>
          <w:rFonts w:hint="eastAsia" w:ascii="仿宋" w:hAnsi="仿宋" w:eastAsia="仿宋"/>
          <w:color w:val="auto"/>
          <w:sz w:val="28"/>
          <w:szCs w:val="28"/>
          <w:highlight w:val="none"/>
        </w:rPr>
        <w:t xml:space="preserve">）</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二</w:t>
      </w:r>
      <w:r>
        <w:rPr>
          <w:rFonts w:ascii="仿宋" w:hAnsi="仿宋" w:eastAsia="仿宋"/>
          <w:b/>
          <w:color w:val="auto"/>
          <w:sz w:val="28"/>
          <w:szCs w:val="28"/>
          <w:highlight w:val="none"/>
        </w:rPr>
        <w:t xml:space="preserve">、资格审查内容</w:t>
      </w:r>
      <w:r/>
    </w:p>
    <w:p>
      <w:pPr>
        <w:ind w:firstLine="560"/>
        <w:spacing w:line="360" w:lineRule="auto"/>
        <w:rPr>
          <w:rFonts w:hint="eastAsia" w:ascii="宋体" w:hAnsi="宋体" w:eastAsia="仿宋"/>
          <w:b/>
          <w:color w:val="auto"/>
          <w:sz w:val="30"/>
          <w:szCs w:val="30"/>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投标人符合《中华人民共和国政府采购法》第二十二条规定条件的声明函（格式见附件5）</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特定资格要求的证明文件（如果本项目对投标人</w:t>
      </w:r>
      <w:r>
        <w:rPr>
          <w:rFonts w:ascii="仿宋" w:hAnsi="仿宋" w:eastAsia="仿宋"/>
          <w:color w:val="auto"/>
          <w:sz w:val="28"/>
          <w:szCs w:val="28"/>
          <w:highlight w:val="none"/>
        </w:rPr>
        <w:t xml:space="preserve">做出特定资格要求的</w:t>
      </w:r>
      <w:r>
        <w:rPr>
          <w:rFonts w:hint="eastAsia" w:ascii="仿宋" w:hAnsi="仿宋" w:eastAsia="仿宋"/>
          <w:color w:val="auto"/>
          <w:sz w:val="28"/>
          <w:szCs w:val="28"/>
          <w:highlight w:val="none"/>
        </w:rPr>
        <w:t xml:space="preserve">，必须提供）</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法人授权书（格式见附件6）</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投标函（格式见附件7）</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中小微企业声明函（如果本项目</w:t>
      </w:r>
      <w:r>
        <w:rPr>
          <w:rFonts w:ascii="仿宋" w:hAnsi="仿宋" w:eastAsia="仿宋"/>
          <w:color w:val="auto"/>
          <w:sz w:val="28"/>
          <w:szCs w:val="28"/>
          <w:highlight w:val="none"/>
        </w:rPr>
        <w:t xml:space="preserve">专门面向中小微型企业采购，则必须提供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残疾人福利性单位声明函（如果本项目</w:t>
      </w:r>
      <w:r>
        <w:rPr>
          <w:rFonts w:ascii="仿宋" w:hAnsi="仿宋" w:eastAsia="仿宋"/>
          <w:color w:val="auto"/>
          <w:sz w:val="28"/>
          <w:szCs w:val="28"/>
          <w:highlight w:val="none"/>
        </w:rPr>
        <w:t xml:space="preserve">专门面向中小微型企业采购，</w:t>
      </w:r>
      <w:r>
        <w:rPr>
          <w:rFonts w:hint="eastAsia" w:ascii="仿宋" w:hAnsi="仿宋" w:eastAsia="仿宋"/>
          <w:color w:val="auto"/>
          <w:sz w:val="28"/>
          <w:szCs w:val="28"/>
          <w:highlight w:val="none"/>
        </w:rPr>
        <w:t xml:space="preserve">供应商为</w:t>
      </w:r>
      <w:r>
        <w:rPr>
          <w:rFonts w:ascii="仿宋" w:hAnsi="仿宋" w:eastAsia="仿宋"/>
          <w:color w:val="auto"/>
          <w:sz w:val="28"/>
          <w:szCs w:val="28"/>
          <w:highlight w:val="none"/>
        </w:rPr>
        <w:t xml:space="preserve">残疾人福利性单位并</w:t>
      </w:r>
      <w:r>
        <w:rPr>
          <w:rFonts w:hint="eastAsia" w:ascii="仿宋" w:hAnsi="仿宋" w:eastAsia="仿宋"/>
          <w:color w:val="auto"/>
          <w:sz w:val="28"/>
          <w:szCs w:val="28"/>
          <w:highlight w:val="none"/>
        </w:rPr>
        <w:t xml:space="preserve">提供本单位制造的货物，或者提供其他残疾人福利性单位制造的货物，</w:t>
      </w:r>
      <w:r>
        <w:rPr>
          <w:rFonts w:ascii="仿宋" w:hAnsi="仿宋" w:eastAsia="仿宋"/>
          <w:color w:val="auto"/>
          <w:sz w:val="28"/>
          <w:szCs w:val="28"/>
          <w:highlight w:val="none"/>
        </w:rPr>
        <w:t xml:space="preserve">则必须提供</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总备注：上述“资格审查内容”中1、3、4条投标人必须在投标文件中提供相关材料，否则作无效投标处理；2、5、6条如招标文件要求必须提供相关材料而未提供的，作无效投标处理。</w:t>
      </w:r>
      <w:r/>
    </w:p>
    <w:p>
      <w:pPr>
        <w:ind w:left="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三</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符合性</w:t>
      </w:r>
      <w:r>
        <w:rPr>
          <w:rFonts w:ascii="仿宋" w:hAnsi="仿宋" w:eastAsia="仿宋"/>
          <w:b/>
          <w:color w:val="auto"/>
          <w:sz w:val="28"/>
          <w:szCs w:val="28"/>
          <w:highlight w:val="none"/>
        </w:rPr>
        <w:t xml:space="preserve">审查内容</w:t>
      </w:r>
      <w:r/>
    </w:p>
    <w:p>
      <w:pPr>
        <w:ind w:firstLine="560"/>
        <w:spacing w:line="360" w:lineRule="auto"/>
        <w:rPr>
          <w:rFonts w:hint="eastAsia" w:ascii="仿宋" w:hAnsi="仿宋" w:eastAsia="仿宋"/>
          <w:b/>
          <w:bCs/>
          <w:color w:val="auto"/>
          <w:sz w:val="28"/>
          <w:szCs w:val="28"/>
          <w:highlight w:val="none"/>
        </w:rPr>
      </w:pPr>
      <w:r>
        <w:rPr>
          <w:rFonts w:hint="eastAsia" w:ascii="仿宋" w:hAnsi="仿宋" w:eastAsia="仿宋"/>
          <w:color w:val="auto"/>
          <w:sz w:val="28"/>
          <w:szCs w:val="28"/>
          <w:highlight w:val="none"/>
        </w:rPr>
        <w:t xml:space="preserve">投标人必须</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采购需求中</w:t>
      </w:r>
      <w:r>
        <w:rPr>
          <w:rFonts w:ascii="仿宋" w:hAnsi="仿宋" w:eastAsia="仿宋"/>
          <w:color w:val="auto"/>
          <w:sz w:val="28"/>
          <w:szCs w:val="28"/>
          <w:highlight w:val="none"/>
        </w:rPr>
        <w:t xml:space="preserve">加斜体下划线的实质性要求</w:t>
      </w:r>
      <w:r>
        <w:rPr>
          <w:rFonts w:hint="eastAsia" w:ascii="仿宋" w:hAnsi="仿宋" w:eastAsia="仿宋"/>
          <w:color w:val="auto"/>
          <w:sz w:val="28"/>
          <w:szCs w:val="28"/>
          <w:highlight w:val="none"/>
        </w:rPr>
        <w:t xml:space="preserve">逐条</w:t>
      </w:r>
      <w:r>
        <w:rPr>
          <w:rFonts w:ascii="仿宋" w:hAnsi="仿宋" w:eastAsia="仿宋"/>
          <w:color w:val="auto"/>
          <w:sz w:val="28"/>
          <w:szCs w:val="28"/>
          <w:highlight w:val="none"/>
        </w:rPr>
        <w:t xml:space="preserve">做出响应，并按照招标</w:t>
      </w:r>
      <w:r>
        <w:rPr>
          <w:rFonts w:hint="eastAsia" w:ascii="仿宋" w:hAnsi="仿宋" w:eastAsia="仿宋"/>
          <w:color w:val="auto"/>
          <w:sz w:val="28"/>
          <w:szCs w:val="28"/>
          <w:highlight w:val="none"/>
        </w:rPr>
        <w:t xml:space="preserve">文件</w:t>
      </w:r>
      <w:r>
        <w:rPr>
          <w:rFonts w:ascii="仿宋" w:hAnsi="仿宋" w:eastAsia="仿宋"/>
          <w:color w:val="auto"/>
          <w:sz w:val="28"/>
          <w:szCs w:val="28"/>
          <w:highlight w:val="none"/>
        </w:rPr>
        <w:t xml:space="preserve">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，否则做无效投标处理。（格式自拟）</w:t>
      </w:r>
      <w:r/>
    </w:p>
    <w:p>
      <w:pPr>
        <w:ind w:firstLine="480"/>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四、价格</w:t>
      </w:r>
      <w:r>
        <w:rPr>
          <w:rFonts w:ascii="仿宋" w:hAnsi="仿宋" w:eastAsia="仿宋"/>
          <w:b/>
          <w:color w:val="auto"/>
          <w:sz w:val="28"/>
          <w:szCs w:val="28"/>
          <w:highlight w:val="none"/>
        </w:rPr>
        <w:t xml:space="preserve">扣除证明文件</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中小微企业声明函（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8）</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残疾人福利性单位声明函（</w:t>
      </w:r>
      <w:r>
        <w:rPr>
          <w:rFonts w:ascii="仿宋" w:hAnsi="仿宋" w:eastAsia="仿宋"/>
          <w:color w:val="auto"/>
          <w:sz w:val="28"/>
          <w:szCs w:val="28"/>
          <w:highlight w:val="none"/>
        </w:rPr>
        <w:t xml:space="preserve">格式</w:t>
      </w:r>
      <w:r>
        <w:rPr>
          <w:rFonts w:hint="eastAsia" w:ascii="仿宋" w:hAnsi="仿宋" w:eastAsia="仿宋"/>
          <w:color w:val="auto"/>
          <w:sz w:val="28"/>
          <w:szCs w:val="28"/>
          <w:highlight w:val="none"/>
        </w:rPr>
        <w:t xml:space="preserve">见</w:t>
      </w:r>
      <w:r>
        <w:rPr>
          <w:rFonts w:ascii="仿宋" w:hAnsi="仿宋" w:eastAsia="仿宋"/>
          <w:color w:val="auto"/>
          <w:sz w:val="28"/>
          <w:szCs w:val="28"/>
          <w:highlight w:val="none"/>
        </w:rPr>
        <w:t xml:space="preserve">附件</w:t>
      </w:r>
      <w:r>
        <w:rPr>
          <w:rFonts w:hint="eastAsia" w:ascii="仿宋" w:hAnsi="仿宋" w:eastAsia="仿宋"/>
          <w:color w:val="auto"/>
          <w:sz w:val="28"/>
          <w:szCs w:val="28"/>
          <w:highlight w:val="none"/>
        </w:rPr>
        <w:t xml:space="preserve">9）</w:t>
      </w:r>
      <w:r/>
    </w:p>
    <w:p>
      <w:pPr>
        <w:spacing w:line="360" w:lineRule="auto"/>
        <w:rPr>
          <w:rFonts w:hint="eastAsia" w:ascii="仿宋" w:hAnsi="仿宋" w:eastAsia="仿宋"/>
          <w:b/>
          <w:color w:val="auto"/>
          <w:sz w:val="28"/>
          <w:szCs w:val="28"/>
          <w:highlight w:val="none"/>
        </w:rPr>
      </w:pPr>
      <w:r>
        <w:rPr>
          <w:rFonts w:hint="eastAsia"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1 </w:t>
      </w:r>
      <w:r/>
    </w:p>
    <w:p>
      <w:pPr>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开标一览表</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投标人全称（加盖CA电子签章）：</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w:t>
      </w:r>
      <w:r/>
    </w:p>
    <w:p>
      <w:pPr>
        <w:ind w:firstLine="482"/>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分包号：</w:t>
      </w:r>
      <w:r/>
    </w:p>
    <w:tbl>
      <w:tblPr>
        <w:tblStyle w:val="802"/>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                      </w:t>
            </w:r>
            <w:r>
              <w:rPr>
                <w:rFonts w:hint="eastAsia" w:ascii="仿宋" w:hAnsi="仿宋" w:eastAsia="仿宋"/>
                <w:color w:val="auto"/>
                <w:sz w:val="28"/>
                <w:szCs w:val="28"/>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核心产品品牌</w:t>
            </w:r>
            <w:r/>
          </w:p>
        </w:tc>
        <w:tc>
          <w:tcPr>
            <w:tcW w:w="6405" w:type="dxa"/>
            <w:vAlign w:val="center"/>
            <w:textDirection w:val="lrTb"/>
            <w:noWrap w:val="false"/>
          </w:tcPr>
          <w:p>
            <w:pPr>
              <w:jc w:val="left"/>
              <w:spacing w:line="360" w:lineRule="auto"/>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tc>
      </w:tr>
    </w:tbl>
    <w:p>
      <w:pPr>
        <w:spacing w:line="240" w:lineRule="auto"/>
        <w:rPr>
          <w:rFonts w:hint="eastAsia" w:ascii="仿宋" w:hAnsi="仿宋" w:eastAsia="仿宋"/>
          <w:b/>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2</w:t>
      </w:r>
      <w:r>
        <w:rPr>
          <w:rFonts w:hint="eastAsia" w:ascii="仿宋" w:hAnsi="仿宋" w:eastAsia="仿宋"/>
          <w:b/>
          <w:color w:val="auto"/>
          <w:sz w:val="28"/>
          <w:szCs w:val="28"/>
          <w:highlight w:val="none"/>
        </w:rPr>
        <w:t xml:space="preserve"> </w:t>
      </w:r>
      <w:r/>
    </w:p>
    <w:p>
      <w:pPr>
        <w:pStyle w:val="877"/>
        <w:jc w:val="center"/>
        <w:spacing w:line="240" w:lineRule="auto"/>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lang w:eastAsia="zh-CN"/>
        </w:rPr>
        <w:t xml:space="preserve">投标分项报价表</w:t>
      </w:r>
      <w:r/>
    </w:p>
    <w:tbl>
      <w:tblPr>
        <w:tblStyle w:val="802"/>
        <w:tblpPr w:horzAnchor="page" w:tblpX="277" w:vertAnchor="text" w:tblpY="566" w:leftFromText="180" w:topFromText="0" w:rightFromText="180" w:bottomFromText="0"/>
        <w:tblW w:w="10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160"/>
        <w:gridCol w:w="2021"/>
        <w:gridCol w:w="1139"/>
        <w:gridCol w:w="880"/>
        <w:gridCol w:w="840"/>
        <w:gridCol w:w="900"/>
        <w:gridCol w:w="835"/>
        <w:gridCol w:w="1086"/>
        <w:gridCol w:w="1154"/>
      </w:tblGrid>
      <w:tr>
        <w:trPr>
          <w:cantSplit/>
          <w:trHeight w:val="29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序号</w:t>
            </w:r>
            <w:r/>
          </w:p>
        </w:tc>
        <w:tc>
          <w:tcPr>
            <w:gridSpan w:val="2"/>
            <w:tcW w:w="318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产品名称</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品牌</w:t>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规格型号</w:t>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产地</w:t>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生产厂家</w:t>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人位</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分项单价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分项总价</w:t>
            </w:r>
            <w:r/>
          </w:p>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（单位：元）</w:t>
            </w:r>
            <w:r/>
          </w:p>
        </w:tc>
      </w:tr>
      <w:tr>
        <w:trPr>
          <w:cantSplit/>
          <w:trHeight w:val="848"/>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1</w:t>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产品1.</w:t>
            </w:r>
            <w:r>
              <w:rPr>
                <w:rFonts w:hint="eastAsia" w:asciiTheme="minorEastAsia" w:hAnsiTheme="minorEastAsia" w:eastAsiaTheme="minorEastAsia"/>
                <w:color w:val="auto"/>
                <w:sz w:val="28"/>
                <w:szCs w:val="28"/>
                <w:highlight w:val="none"/>
              </w:rPr>
              <w:t xml:space="preserve"> 联排课桌椅</w:t>
            </w:r>
            <w:r/>
          </w:p>
        </w:tc>
        <w:tc>
          <w:tcPr>
            <w:tcBorders>
              <w:left w:val="single" w:color="auto" w:sz="4" w:space="0"/>
              <w:bottom w:val="single" w:color="auto" w:sz="4" w:space="0"/>
            </w:tcBorders>
            <w:tcW w:w="2021"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联排课桌（前排） 853人位</w:t>
            </w:r>
            <w:r/>
          </w:p>
        </w:tc>
        <w:tc>
          <w:tcPr>
            <w:tcBorders>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7454</w:t>
            </w:r>
            <w:r/>
          </w:p>
        </w:tc>
        <w:tc>
          <w:tcPr>
            <w:tcBorders>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91"/>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left w:val="single" w:color="auto" w:sz="4" w:space="0"/>
              <w:bottom w:val="single" w:color="auto" w:sz="4" w:space="0"/>
            </w:tcBorders>
            <w:tcW w:w="2021" w:type="dxa"/>
            <w:vAlign w:val="center"/>
            <w:textDirection w:val="lrTb"/>
            <w:noWrap w:val="false"/>
          </w:tcPr>
          <w:p>
            <w:pPr>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联排课桌椅（中排）6601人位</w:t>
            </w:r>
            <w:r/>
          </w:p>
        </w:tc>
        <w:tc>
          <w:tcPr>
            <w:tcBorders>
              <w:top w:val="single" w:color="auto" w:sz="4" w:space="0"/>
              <w:bottom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651"/>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left w:val="single" w:color="auto" w:sz="4" w:space="0"/>
            </w:tcBorders>
            <w:tcW w:w="2021" w:type="dxa"/>
            <w:vAlign w:val="center"/>
            <w:textDirection w:val="lrTb"/>
            <w:noWrap w:val="false"/>
          </w:tcPr>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联排椅（后排）   853人位</w:t>
            </w:r>
            <w:r/>
          </w:p>
        </w:tc>
        <w:tc>
          <w:tcPr>
            <w:tcBorders>
              <w:top w:val="single" w:color="auto" w:sz="4" w:space="0"/>
            </w:tcBorders>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bottom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724"/>
        </w:trPr>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2</w:t>
            </w:r>
            <w:r/>
          </w:p>
        </w:tc>
        <w:tc>
          <w:tcPr>
            <w:gridSpan w:val="2"/>
            <w:tcW w:w="318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产品2.</w:t>
            </w:r>
            <w:r>
              <w:rPr>
                <w:rFonts w:hint="eastAsia" w:asciiTheme="minorEastAsia" w:hAnsiTheme="minorEastAsia" w:eastAsiaTheme="minorEastAsia"/>
                <w:color w:val="auto"/>
                <w:sz w:val="24"/>
                <w:szCs w:val="24"/>
                <w:highlight w:val="none"/>
              </w:rPr>
              <w:t xml:space="preserve">实木凳</w:t>
            </w:r>
            <w:r>
              <w:rPr>
                <w:rFonts w:asciiTheme="minorEastAsia" w:hAnsiTheme="minorEastAsia" w:eastAsiaTheme="minorEastAsia"/>
                <w:color w:val="auto"/>
                <w:sz w:val="24"/>
                <w:szCs w:val="24"/>
                <w:highlight w:val="none"/>
              </w:rPr>
              <w:t xml:space="preserve"> </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2468</w:t>
            </w:r>
            <w:r/>
          </w:p>
        </w:tc>
        <w:tc>
          <w:tcPr>
            <w:tcBorders>
              <w:top w:val="single" w:color="auto" w:sz="4" w:space="0"/>
            </w:tcBorders>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top w:val="single" w:color="auto" w:sz="4" w:space="0"/>
            </w:tcBorders>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1"/>
        </w:trPr>
        <w:tc>
          <w:tcPr>
            <w:tcW w:w="880" w:type="dxa"/>
            <w:vAlign w:val="center"/>
            <w:vMerge w:val="restart"/>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p>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restart"/>
            <w:textDirection w:val="lrTb"/>
            <w:noWrap w:val="false"/>
          </w:tcPr>
          <w:p>
            <w:pPr>
              <w:jc w:val="left"/>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产品3.</w:t>
            </w:r>
            <w:r>
              <w:rPr>
                <w:rFonts w:hint="eastAsia" w:asciiTheme="minorEastAsia" w:hAnsiTheme="minorEastAsia" w:eastAsiaTheme="minorEastAsia"/>
                <w:color w:val="auto"/>
                <w:sz w:val="28"/>
                <w:szCs w:val="28"/>
                <w:highlight w:val="none"/>
              </w:rPr>
              <w:t xml:space="preserve">录播室活动课桌椅</w:t>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可组合小组课桌</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02"/>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可升降活动椅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126</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条形课桌（双人桌）</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27*2</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23"/>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活动椅</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54</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399"/>
        </w:trPr>
        <w:tc>
          <w:tcPr>
            <w:tcW w:w="880" w:type="dxa"/>
            <w:vAlign w:val="center"/>
            <w:vMerge w:val="continue"/>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right w:val="single" w:color="auto" w:sz="4" w:space="0"/>
            </w:tcBorders>
            <w:tcW w:w="1160" w:type="dxa"/>
            <w:vAlign w:val="center"/>
            <w:vMerge w:val="continue"/>
            <w:textDirection w:val="lrTb"/>
            <w:noWrap w:val="false"/>
          </w:tcPr>
          <w:p>
            <w:pPr>
              <w:ind w:firstLine="1120"/>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Borders>
              <w:left w:val="single" w:color="auto" w:sz="4" w:space="0"/>
            </w:tcBorders>
            <w:tcW w:w="2021" w:type="dxa"/>
            <w:vAlign w:val="center"/>
            <w:textDirection w:val="lrTb"/>
            <w:noWrap w:val="false"/>
          </w:tcPr>
          <w:p>
            <w:pPr>
              <w:jc w:val="lef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带书写板椅子</w:t>
            </w:r>
            <w:r/>
          </w:p>
        </w:tc>
        <w:tc>
          <w:tcPr>
            <w:tcW w:w="1139"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8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4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900"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835"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120</w:t>
            </w:r>
            <w:r/>
          </w:p>
        </w:tc>
        <w:tc>
          <w:tcPr>
            <w:tcW w:w="1086"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c>
          <w:tcPr>
            <w:tcW w:w="1154"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r>
            <w:r/>
          </w:p>
        </w:tc>
      </w:tr>
      <w:tr>
        <w:trPr>
          <w:cantSplit/>
          <w:trHeight w:val="576"/>
        </w:trPr>
        <w:tc>
          <w:tcPr>
            <w:gridSpan w:val="3"/>
            <w:tcW w:w="4061" w:type="dxa"/>
            <w:vAlign w:val="center"/>
            <w:textDirection w:val="lrTb"/>
            <w:noWrap w:val="false"/>
          </w:tcPr>
          <w:p>
            <w:pPr>
              <w:jc w:val="center"/>
              <w:rPr>
                <w:rFonts w:hint="eastAsia"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投标总报价（单位：元）</w:t>
            </w:r>
            <w:r/>
          </w:p>
        </w:tc>
        <w:tc>
          <w:tcPr>
            <w:gridSpan w:val="7"/>
            <w:tcW w:w="6834" w:type="dxa"/>
            <w:vAlign w:val="center"/>
            <w:textDirection w:val="lrTb"/>
            <w:noWrap w:val="false"/>
          </w:tcPr>
          <w:p>
            <w:pPr>
              <w:jc w:val="left"/>
              <w:rPr>
                <w:rFonts w:hint="eastAsia"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rPr>
              <w:t xml:space="preserve">大写：</w:t>
            </w:r>
            <w:r/>
          </w:p>
        </w:tc>
      </w:tr>
    </w:tbl>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tbl>
      <w:tblPr>
        <w:tblStyle w:val="83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eastAsia="方正仿宋_GBK"/>
                <w:color w:val="auto"/>
                <w:sz w:val="28"/>
                <w:szCs w:val="28"/>
                <w:highlight w:val="none"/>
              </w:rPr>
            </w:pPr>
            <w:r>
              <w:rPr>
                <w:rFonts w:eastAsia="方正仿宋_GBK"/>
                <w:color w:val="auto"/>
                <w:sz w:val="28"/>
                <w:szCs w:val="28"/>
                <w:highlight w:val="none"/>
              </w:rPr>
            </w:r>
            <w:r/>
          </w:p>
        </w:tc>
      </w:tr>
    </w:tbl>
    <w:tbl>
      <w:tblPr>
        <w:tblStyle w:val="83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rPr>
                <w:rFonts w:eastAsia="方正仿宋_GBK"/>
                <w:color w:val="auto"/>
                <w:sz w:val="28"/>
                <w:szCs w:val="28"/>
                <w:highlight w:val="none"/>
              </w:rPr>
            </w:pPr>
            <w:r>
              <w:rPr>
                <w:rFonts w:eastAsia="方正仿宋_GBK"/>
                <w:color w:val="auto"/>
                <w:sz w:val="28"/>
                <w:szCs w:val="28"/>
                <w:highlight w:val="none"/>
              </w:rPr>
            </w:r>
            <w:r/>
          </w:p>
        </w:tc>
      </w:tr>
    </w:tbl>
    <w:p>
      <w:pPr>
        <w:rPr>
          <w:rFonts w:eastAsia="方正仿宋_GBK"/>
          <w:color w:val="auto"/>
          <w:sz w:val="28"/>
          <w:szCs w:val="28"/>
          <w:highlight w:val="none"/>
        </w:rPr>
      </w:pPr>
      <w:r>
        <w:rPr>
          <w:rFonts w:eastAsia="方正仿宋_GBK"/>
          <w:color w:val="auto"/>
          <w:sz w:val="28"/>
          <w:szCs w:val="28"/>
          <w:highlight w:val="none"/>
        </w:rPr>
        <w:t xml:space="preserve">备注：</w:t>
      </w:r>
      <w:r/>
    </w:p>
    <w:p>
      <w:pPr>
        <w:rPr>
          <w:rFonts w:eastAsia="方正仿宋_GBK"/>
          <w:color w:val="auto"/>
          <w:sz w:val="28"/>
          <w:szCs w:val="28"/>
          <w:highlight w:val="none"/>
        </w:rPr>
      </w:pPr>
      <w:r>
        <w:rPr>
          <w:rFonts w:eastAsia="方正仿宋_GBK"/>
          <w:color w:val="auto"/>
          <w:sz w:val="28"/>
          <w:szCs w:val="28"/>
          <w:highlight w:val="none"/>
        </w:rPr>
        <w:t xml:space="preserve">1.投标报价采用总承包方式，“投标总报价”应包括所投货物（包含与货物相关的服务）费用、安装调试费、测试验收费、培训费、运行维护费用、税金、国际（如有）国内运输保险、报关清关（如有）、开证（如有）、办理全套免税手续费用（如有）及其他有关的为完成本项目发生的所有费用。</w:t>
      </w:r>
      <w:r/>
    </w:p>
    <w:p>
      <w:pPr>
        <w:rPr>
          <w:rFonts w:eastAsia="方正仿宋_GBK"/>
          <w:color w:val="auto"/>
          <w:sz w:val="28"/>
          <w:szCs w:val="28"/>
          <w:highlight w:val="none"/>
        </w:rPr>
      </w:pPr>
      <w:r>
        <w:rPr>
          <w:rFonts w:eastAsia="方正仿宋_GBK"/>
          <w:color w:val="auto"/>
          <w:sz w:val="28"/>
          <w:szCs w:val="28"/>
          <w:highlight w:val="none"/>
        </w:rPr>
        <w:t xml:space="preserve">2.“投标分项报价表”中“投标总报价”数额应当与“开标一览表”中“投标总报价”数额一致。</w:t>
      </w:r>
      <w:r/>
    </w:p>
    <w:p>
      <w:pPr>
        <w:rPr>
          <w:rFonts w:eastAsia="方正仿宋_GBK"/>
          <w:color w:val="auto"/>
          <w:sz w:val="28"/>
          <w:szCs w:val="28"/>
          <w:highlight w:val="none"/>
        </w:rPr>
      </w:pPr>
      <w:r>
        <w:rPr>
          <w:rFonts w:eastAsia="方正仿宋_GBK"/>
          <w:color w:val="auto"/>
          <w:sz w:val="28"/>
          <w:szCs w:val="28"/>
          <w:highlight w:val="none"/>
        </w:rPr>
        <w:t xml:space="preserve">3.“规格型号”一栏，填写标书项目需求中投标人</w:t>
      </w:r>
      <w:r>
        <w:rPr>
          <w:rFonts w:eastAsia="方正仿宋_GBK"/>
          <w:color w:val="auto"/>
          <w:sz w:val="28"/>
          <w:szCs w:val="28"/>
          <w:highlight w:val="none"/>
        </w:rPr>
        <w:t xml:space="preserve">所投产品的实际规格尺寸等相关内容。</w:t>
      </w:r>
      <w:r/>
    </w:p>
    <w:p>
      <w:pPr>
        <w:rPr>
          <w:rFonts w:eastAsia="方正仿宋_GBK"/>
          <w:b/>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.投标人</w:t>
      </w:r>
      <w:r>
        <w:rPr>
          <w:rFonts w:eastAsia="方正仿宋_GBK"/>
          <w:color w:val="auto"/>
          <w:sz w:val="28"/>
          <w:szCs w:val="28"/>
          <w:highlight w:val="none"/>
        </w:rPr>
        <w:t xml:space="preserve">需认真填写本分项报价表，缺项或不填写作无效投标处理。</w:t>
      </w:r>
      <w:r/>
    </w:p>
    <w:p>
      <w:pPr>
        <w:pStyle w:val="793"/>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93"/>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93"/>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93"/>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93"/>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pStyle w:val="793"/>
        <w:rPr>
          <w:color w:val="auto"/>
          <w:highlight w:val="none"/>
        </w:rPr>
      </w:pPr>
      <w:r>
        <w:rPr>
          <w:color w:val="auto"/>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3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技术要求响应及偏离表</w:t>
      </w:r>
      <w:r/>
    </w:p>
    <w:tbl>
      <w:tblPr>
        <w:tblStyle w:val="80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技术要求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1.投标人需</w:t>
      </w:r>
      <w:r>
        <w:rPr>
          <w:rFonts w:ascii="仿宋" w:hAnsi="仿宋" w:eastAsia="仿宋"/>
          <w:color w:val="auto"/>
          <w:sz w:val="28"/>
          <w:szCs w:val="28"/>
          <w:highlight w:val="none"/>
        </w:rPr>
        <w:t xml:space="preserve">对技术</w:t>
      </w:r>
      <w:r>
        <w:rPr>
          <w:rFonts w:hint="eastAsia" w:ascii="仿宋" w:hAnsi="仿宋" w:eastAsia="仿宋"/>
          <w:color w:val="auto"/>
          <w:sz w:val="28"/>
          <w:szCs w:val="28"/>
          <w:highlight w:val="none"/>
        </w:rPr>
        <w:t xml:space="preserve">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pStyle w:val="927"/>
        <w:ind w:firstLine="0"/>
        <w:rPr>
          <w:rFonts w:hint="eastAsia" w:ascii="仿宋" w:hAnsi="仿宋" w:eastAsia="仿宋"/>
          <w:b/>
          <w:color w:val="auto"/>
          <w:sz w:val="28"/>
          <w:szCs w:val="28"/>
          <w:highlight w:val="none"/>
          <w:lang w:eastAsia="zh-CN"/>
        </w:rPr>
      </w:pPr>
      <w:r>
        <w:rPr>
          <w:rFonts w:hint="eastAsia"/>
          <w:color w:val="auto"/>
          <w:highlight w:val="none"/>
          <w:lang w:eastAsia="zh-CN"/>
        </w:rPr>
        <w:br w:type="page" w:clear="all"/>
      </w:r>
      <w:r>
        <w:rPr>
          <w:rFonts w:hint="eastAsia" w:ascii="仿宋" w:hAnsi="仿宋" w:eastAsia="仿宋"/>
          <w:b/>
          <w:color w:val="auto"/>
          <w:sz w:val="28"/>
          <w:szCs w:val="28"/>
          <w:highlight w:val="none"/>
          <w:lang w:eastAsia="zh-CN"/>
        </w:rPr>
        <w:t xml:space="preserve">附件</w:t>
      </w:r>
      <w:r>
        <w:rPr>
          <w:rFonts w:ascii="仿宋" w:hAnsi="仿宋" w:eastAsia="仿宋"/>
          <w:b/>
          <w:color w:val="auto"/>
          <w:sz w:val="28"/>
          <w:szCs w:val="28"/>
          <w:highlight w:val="none"/>
          <w:lang w:eastAsia="zh-CN"/>
        </w:rPr>
        <w:t xml:space="preserve">4 </w:t>
      </w:r>
      <w:r/>
    </w:p>
    <w:p>
      <w:pPr>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商务要求响应及偏离表</w:t>
      </w:r>
      <w:r/>
    </w:p>
    <w:tbl>
      <w:tblPr>
        <w:tblStyle w:val="802"/>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序号</w:t>
            </w:r>
            <w:r/>
          </w:p>
        </w:tc>
        <w:tc>
          <w:tcPr>
            <w:tcW w:w="3063"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商务要求</w:t>
            </w:r>
            <w:r/>
          </w:p>
        </w:tc>
        <w:tc>
          <w:tcPr>
            <w:tcW w:w="3191"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投标响应情况</w:t>
            </w:r>
            <w:r/>
          </w:p>
        </w:tc>
        <w:tc>
          <w:tcPr>
            <w:tcW w:w="2128" w:type="dxa"/>
            <w:vAlign w:val="center"/>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超出、符合或偏离</w:t>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r>
        <w:trPr>
          <w:cantSplit/>
          <w:trHeight w:val="640"/>
        </w:trPr>
        <w:tc>
          <w:tcPr>
            <w:tcW w:w="545"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3063" w:type="dxa"/>
            <w:textDirection w:val="lrTb"/>
            <w:noWrap w:val="false"/>
          </w:tcPr>
          <w:p>
            <w:pPr>
              <w:jc w:val="center"/>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w:t>
            </w:r>
            <w:r/>
          </w:p>
        </w:tc>
        <w:tc>
          <w:tcPr>
            <w:tcW w:w="3191"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c>
          <w:tcPr>
            <w:tcW w:w="2128" w:type="dxa"/>
            <w:textDirection w:val="lrTb"/>
            <w:noWrap w:val="false"/>
          </w:tcPr>
          <w:p>
            <w:pPr>
              <w:jc w:val="cente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tc>
      </w:tr>
    </w:tbl>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附件</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-1  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1，证明</w:t>
      </w:r>
      <w:r>
        <w:rPr>
          <w:rFonts w:ascii="仿宋" w:hAnsi="仿宋" w:eastAsia="仿宋"/>
          <w:color w:val="auto"/>
          <w:sz w:val="28"/>
          <w:szCs w:val="28"/>
          <w:highlight w:val="none"/>
        </w:rPr>
        <w:t xml:space="preserve">材料</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rPr>
          <w:rFonts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1.投标人需</w:t>
      </w:r>
      <w:r>
        <w:rPr>
          <w:rFonts w:ascii="仿宋" w:hAnsi="仿宋" w:eastAsia="仿宋"/>
          <w:color w:val="auto"/>
          <w:sz w:val="28"/>
          <w:szCs w:val="28"/>
          <w:highlight w:val="none"/>
        </w:rPr>
        <w:t xml:space="preserve">对</w:t>
      </w:r>
      <w:r>
        <w:rPr>
          <w:rFonts w:hint="eastAsia" w:ascii="仿宋" w:hAnsi="仿宋" w:eastAsia="仿宋"/>
          <w:color w:val="auto"/>
          <w:sz w:val="28"/>
          <w:szCs w:val="28"/>
          <w:highlight w:val="none"/>
        </w:rPr>
        <w:t xml:space="preserve">商务要求（未加斜体</w:t>
      </w:r>
      <w:r>
        <w:rPr>
          <w:rFonts w:ascii="仿宋" w:hAnsi="仿宋" w:eastAsia="仿宋"/>
          <w:color w:val="auto"/>
          <w:sz w:val="28"/>
          <w:szCs w:val="28"/>
          <w:highlight w:val="none"/>
        </w:rPr>
        <w:t xml:space="preserve">下划线的</w:t>
      </w:r>
      <w:r>
        <w:rPr>
          <w:rFonts w:hint="eastAsia" w:ascii="仿宋" w:hAnsi="仿宋" w:eastAsia="仿宋"/>
          <w:color w:val="auto"/>
          <w:sz w:val="28"/>
          <w:szCs w:val="28"/>
          <w:highlight w:val="none"/>
        </w:rPr>
        <w:t xml:space="preserve">非</w:t>
      </w:r>
      <w:r>
        <w:rPr>
          <w:rFonts w:ascii="仿宋" w:hAnsi="仿宋" w:eastAsia="仿宋"/>
          <w:color w:val="auto"/>
          <w:sz w:val="28"/>
          <w:szCs w:val="28"/>
          <w:highlight w:val="none"/>
        </w:rPr>
        <w:t xml:space="preserve">实质性</w:t>
      </w:r>
      <w:r>
        <w:rPr>
          <w:rFonts w:hint="eastAsia" w:ascii="仿宋" w:hAnsi="仿宋" w:eastAsia="仿宋"/>
          <w:color w:val="auto"/>
          <w:sz w:val="28"/>
          <w:szCs w:val="28"/>
          <w:highlight w:val="none"/>
        </w:rPr>
        <w:t xml:space="preserve">要求）</w:t>
      </w:r>
      <w:r>
        <w:rPr>
          <w:rFonts w:ascii="仿宋" w:hAnsi="仿宋" w:eastAsia="仿宋"/>
          <w:color w:val="auto"/>
          <w:sz w:val="28"/>
          <w:szCs w:val="28"/>
          <w:highlight w:val="none"/>
        </w:rPr>
        <w:t xml:space="preserve">逐条做出明确响应</w:t>
      </w:r>
      <w:r>
        <w:rPr>
          <w:rFonts w:hint="eastAsia" w:ascii="仿宋" w:hAnsi="仿宋" w:eastAsia="仿宋"/>
          <w:color w:val="auto"/>
          <w:sz w:val="28"/>
          <w:szCs w:val="28"/>
          <w:highlight w:val="none"/>
        </w:rPr>
        <w:t xml:space="preserve">。</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2.如果招标</w:t>
      </w:r>
      <w:r>
        <w:rPr>
          <w:rFonts w:ascii="仿宋" w:hAnsi="仿宋" w:eastAsia="仿宋"/>
          <w:color w:val="auto"/>
          <w:sz w:val="28"/>
          <w:szCs w:val="28"/>
          <w:highlight w:val="none"/>
        </w:rPr>
        <w:t xml:space="preserve">文件要求提供</w:t>
      </w:r>
      <w:r>
        <w:rPr>
          <w:rFonts w:hint="eastAsia" w:ascii="仿宋" w:hAnsi="仿宋" w:eastAsia="仿宋"/>
          <w:color w:val="auto"/>
          <w:sz w:val="28"/>
          <w:szCs w:val="28"/>
          <w:highlight w:val="none"/>
        </w:rPr>
        <w:t xml:space="preserve">证明</w:t>
      </w:r>
      <w:r>
        <w:rPr>
          <w:rFonts w:ascii="仿宋" w:hAnsi="仿宋" w:eastAsia="仿宋"/>
          <w:color w:val="auto"/>
          <w:sz w:val="28"/>
          <w:szCs w:val="28"/>
          <w:highlight w:val="none"/>
        </w:rPr>
        <w:t xml:space="preserve">材料，投标人</w:t>
      </w:r>
      <w:r>
        <w:rPr>
          <w:rFonts w:hint="eastAsia" w:ascii="仿宋" w:hAnsi="仿宋" w:eastAsia="仿宋"/>
          <w:color w:val="auto"/>
          <w:sz w:val="28"/>
          <w:szCs w:val="28"/>
          <w:highlight w:val="none"/>
        </w:rPr>
        <w:t xml:space="preserve">需</w:t>
      </w:r>
      <w:r>
        <w:rPr>
          <w:rFonts w:ascii="仿宋" w:hAnsi="仿宋" w:eastAsia="仿宋"/>
          <w:color w:val="auto"/>
          <w:sz w:val="28"/>
          <w:szCs w:val="28"/>
          <w:highlight w:val="none"/>
        </w:rPr>
        <w:t xml:space="preserve">将证明材料</w:t>
      </w:r>
      <w:r>
        <w:rPr>
          <w:rFonts w:hint="eastAsia" w:ascii="仿宋" w:hAnsi="仿宋" w:eastAsia="仿宋"/>
          <w:color w:val="auto"/>
          <w:sz w:val="28"/>
          <w:szCs w:val="28"/>
          <w:highlight w:val="none"/>
        </w:rPr>
        <w:t xml:space="preserve">列于</w:t>
      </w:r>
      <w:r>
        <w:rPr>
          <w:rFonts w:ascii="仿宋" w:hAnsi="仿宋" w:eastAsia="仿宋"/>
          <w:color w:val="auto"/>
          <w:sz w:val="28"/>
          <w:szCs w:val="28"/>
          <w:highlight w:val="none"/>
        </w:rPr>
        <w:t xml:space="preserve">该表之下。</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w:t>
      </w:r>
      <w:r>
        <w:rPr>
          <w:rFonts w:ascii="仿宋" w:hAnsi="仿宋" w:eastAsia="仿宋"/>
          <w:b/>
          <w:color w:val="auto"/>
          <w:sz w:val="28"/>
          <w:szCs w:val="28"/>
          <w:highlight w:val="none"/>
        </w:rPr>
        <w:t xml:space="preserve">5</w:t>
      </w:r>
      <w:r>
        <w:rPr>
          <w:rFonts w:hint="eastAsia" w:ascii="仿宋" w:hAnsi="仿宋" w:eastAsia="仿宋"/>
          <w:b/>
          <w:color w:val="auto"/>
          <w:sz w:val="28"/>
          <w:szCs w:val="28"/>
          <w:highlight w:val="none"/>
        </w:rPr>
        <w:t xml:space="preserve"> </w:t>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投标人符合《中华人民共和国政府采购法》第二十二条规定条件的声明函</w:t>
      </w:r>
      <w:r/>
    </w:p>
    <w:p>
      <w:pPr>
        <w:jc w:val="center"/>
        <w:spacing w:line="360" w:lineRule="auto"/>
        <w:rPr>
          <w:rFonts w:hint="eastAsia" w:ascii="仿宋" w:hAnsi="仿宋" w:eastAsia="仿宋" w:cs="仿宋"/>
          <w:b/>
          <w:bCs/>
          <w:color w:val="auto"/>
          <w:sz w:val="48"/>
          <w:szCs w:val="48"/>
          <w:highlight w:val="none"/>
        </w:rPr>
      </w:pPr>
      <w:r>
        <w:rPr>
          <w:rFonts w:hint="eastAsia" w:ascii="仿宋" w:hAnsi="仿宋" w:eastAsia="仿宋" w:cs="仿宋"/>
          <w:b/>
          <w:bCs/>
          <w:color w:val="auto"/>
          <w:sz w:val="28"/>
          <w:highlight w:val="none"/>
        </w:rPr>
        <w:t xml:space="preserve">                  </w:t>
      </w:r>
      <w:r>
        <w:rPr>
          <w:rFonts w:hint="eastAsia" w:ascii="仿宋" w:hAnsi="仿宋" w:eastAsia="仿宋" w:cs="仿宋"/>
          <w:b/>
          <w:bCs/>
          <w:color w:val="auto"/>
          <w:sz w:val="48"/>
          <w:szCs w:val="48"/>
          <w:highlight w:val="none"/>
        </w:rPr>
        <w:t xml:space="preserve">   </w:t>
      </w:r>
      <w:r/>
    </w:p>
    <w:p>
      <w:pPr>
        <w:ind w:firstLine="480"/>
        <w:spacing w:line="360" w:lineRule="auto"/>
        <w:rPr>
          <w:rFonts w:hint="eastAsia" w:ascii="仿宋" w:hAnsi="仿宋" w:eastAsia="仿宋" w:cs="仿宋"/>
          <w:b/>
          <w:bCs/>
          <w:color w:val="auto"/>
          <w:sz w:val="28"/>
          <w:szCs w:val="24"/>
          <w:highlight w:val="none"/>
        </w:rPr>
      </w:pPr>
      <w:r>
        <w:rPr>
          <w:rFonts w:hint="eastAsia" w:ascii="仿宋" w:hAnsi="仿宋" w:eastAsia="仿宋" w:cs="仿宋"/>
          <w:bCs/>
          <w:color w:val="auto"/>
          <w:sz w:val="28"/>
          <w:szCs w:val="24"/>
          <w:highlight w:val="none"/>
        </w:rPr>
        <w:t xml:space="preserve">我单位参加</w:t>
      </w:r>
      <w:r>
        <w:rPr>
          <w:rFonts w:hint="eastAsia" w:ascii="仿宋" w:hAnsi="仿宋" w:eastAsia="仿宋" w:cs="仿宋"/>
          <w:bCs/>
          <w:color w:val="auto"/>
          <w:sz w:val="28"/>
          <w:szCs w:val="24"/>
          <w:highlight w:val="none"/>
          <w:u w:val="single"/>
        </w:rPr>
        <w:t xml:space="preserve">                 </w:t>
      </w:r>
      <w:r>
        <w:rPr>
          <w:rFonts w:hint="eastAsia" w:ascii="仿宋" w:hAnsi="仿宋" w:eastAsia="仿宋" w:cs="仿宋"/>
          <w:bCs/>
          <w:color w:val="auto"/>
          <w:sz w:val="28"/>
          <w:highlight w:val="none"/>
        </w:rPr>
        <w:t xml:space="preserve">（项目名称），</w:t>
      </w:r>
      <w:r>
        <w:rPr>
          <w:rFonts w:eastAsia="仿宋"/>
          <w:bCs/>
          <w:color w:val="auto"/>
          <w:sz w:val="28"/>
          <w:highlight w:val="none"/>
          <w:u w:val="single"/>
        </w:rPr>
        <w:t xml:space="preserve"> </w:t>
      </w:r>
      <w:r>
        <w:rPr>
          <w:rFonts w:hint="eastAsia" w:eastAsia="仿宋"/>
          <w:bCs/>
          <w:color w:val="auto"/>
          <w:sz w:val="28"/>
          <w:highlight w:val="none"/>
          <w:u w:val="single"/>
        </w:rPr>
        <w:t xml:space="preserve">                </w:t>
      </w:r>
      <w:r>
        <w:rPr>
          <w:rFonts w:hint="eastAsia" w:ascii="仿宋" w:hAnsi="仿宋" w:eastAsia="仿宋" w:cs="仿宋"/>
          <w:bCs/>
          <w:color w:val="auto"/>
          <w:sz w:val="28"/>
          <w:highlight w:val="none"/>
        </w:rPr>
        <w:t xml:space="preserve">（项目编号）投标活动。针对《中华人民共和国政府采购法》第二十二条规定做出如下声明：</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bCs/>
          <w:color w:val="auto"/>
          <w:sz w:val="28"/>
          <w:highlight w:val="none"/>
        </w:rPr>
        <w:t xml:space="preserve">1.我单位具有独立承担民事责任的能力；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2.我单位具有良好的商业信誉和健全的财务会计制度；</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3.我单位具有履行合同所必需的设备和专业技术能力；</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4.我单位有依法缴纳税收和社会保障资金的良好记录；</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6.我单位满足法律、行政法规规定的其他条件。</w:t>
      </w:r>
      <w:r/>
    </w:p>
    <w:p>
      <w:pPr>
        <w:jc w:val="center"/>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承诺人名称（公章）：</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w:t>
      </w:r>
      <w:r/>
    </w:p>
    <w:p>
      <w:pPr>
        <w:jc w:val="right"/>
        <w:spacing w:line="360" w:lineRule="auto"/>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 xml:space="preserve">                                 日期：</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年</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月</w:t>
      </w:r>
      <w:r>
        <w:rPr>
          <w:rFonts w:hint="eastAsia" w:ascii="仿宋" w:hAnsi="仿宋" w:eastAsia="仿宋" w:cs="仿宋"/>
          <w:bCs/>
          <w:color w:val="auto"/>
          <w:sz w:val="28"/>
          <w:highlight w:val="none"/>
          <w:u w:val="single"/>
        </w:rPr>
        <w:t xml:space="preserve">    </w:t>
      </w:r>
      <w:r>
        <w:rPr>
          <w:rFonts w:hint="eastAsia" w:ascii="仿宋" w:hAnsi="仿宋" w:eastAsia="仿宋" w:cs="仿宋"/>
          <w:bCs/>
          <w:color w:val="auto"/>
          <w:sz w:val="28"/>
          <w:highlight w:val="none"/>
        </w:rPr>
        <w:t xml:space="preserve">日</w:t>
      </w:r>
      <w:r/>
    </w:p>
    <w:p>
      <w:pP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附件6</w:t>
      </w:r>
      <w:r>
        <w:rPr>
          <w:rFonts w:ascii="仿宋" w:hAnsi="仿宋" w:eastAsia="仿宋"/>
          <w:b/>
          <w:color w:val="auto"/>
          <w:sz w:val="28"/>
          <w:szCs w:val="28"/>
          <w:highlight w:val="none"/>
        </w:rPr>
        <w:t xml:space="preserve"> </w:t>
      </w:r>
      <w:r/>
    </w:p>
    <w:p>
      <w:pPr>
        <w:ind w:firstLine="480"/>
        <w:jc w:val="center"/>
        <w:spacing w:line="360" w:lineRule="auto"/>
        <w:rPr>
          <w:rFonts w:hint="eastAsia" w:ascii="仿宋" w:hAnsi="仿宋" w:eastAsia="仿宋"/>
          <w:bCs/>
          <w:color w:val="auto"/>
          <w:sz w:val="28"/>
          <w:szCs w:val="28"/>
          <w:highlight w:val="none"/>
        </w:rPr>
      </w:pPr>
      <w:r>
        <w:rPr>
          <w:rFonts w:hint="eastAsia" w:ascii="仿宋" w:hAnsi="仿宋" w:eastAsia="仿宋"/>
          <w:b/>
          <w:color w:val="auto"/>
          <w:sz w:val="28"/>
          <w:szCs w:val="28"/>
          <w:highlight w:val="none"/>
        </w:rPr>
        <w:t xml:space="preserve">法人授权书</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（投标人名称）授权</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（被授权人的姓名）为我方就</w:t>
      </w:r>
      <w:r>
        <w:rPr>
          <w:rFonts w:eastAsia="仿宋"/>
          <w:bCs/>
          <w:color w:val="auto"/>
          <w:sz w:val="28"/>
          <w:highlight w:val="none"/>
          <w:u w:val="single"/>
        </w:rPr>
        <w:t xml:space="preserve"> </w:t>
      </w:r>
      <w:r>
        <w:rPr>
          <w:rFonts w:hint="eastAsia" w:eastAsia="仿宋"/>
          <w:bCs/>
          <w:color w:val="auto"/>
          <w:sz w:val="28"/>
          <w:highlight w:val="none"/>
          <w:u w:val="single"/>
        </w:rPr>
        <w:t xml:space="preserve">                          </w:t>
      </w:r>
      <w:r>
        <w:rPr>
          <w:rFonts w:hint="eastAsia" w:ascii="仿宋" w:hAnsi="仿宋" w:eastAsia="仿宋"/>
          <w:color w:val="auto"/>
          <w:sz w:val="28"/>
          <w:szCs w:val="28"/>
          <w:highlight w:val="none"/>
        </w:rPr>
        <w:t xml:space="preserve">号项目采购活动的合法代理人，以本单位名义全权处理一切与该项目采购有关的事务。</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被授权人身份证号码：</w:t>
      </w:r>
      <w:r>
        <w:rPr>
          <w:rFonts w:hint="eastAsia" w:ascii="仿宋" w:hAnsi="仿宋" w:eastAsia="仿宋"/>
          <w:color w:val="auto"/>
          <w:sz w:val="28"/>
          <w:szCs w:val="28"/>
          <w:highlight w:val="none"/>
          <w:u w:val="single"/>
        </w:rPr>
        <w:t xml:space="preserve">                              </w:t>
      </w:r>
      <w:r/>
    </w:p>
    <w:p>
      <w:pPr>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被授权人联系电话：（手机）</w:t>
      </w:r>
      <w:r>
        <w:rPr>
          <w:rFonts w:hint="eastAsia" w:ascii="仿宋" w:hAnsi="仿宋" w:eastAsia="仿宋"/>
          <w:color w:val="auto"/>
          <w:sz w:val="28"/>
          <w:szCs w:val="28"/>
          <w:highlight w:val="none"/>
          <w:u w:val="single"/>
        </w:rPr>
        <w:t xml:space="preserve">                          </w:t>
      </w:r>
      <w:r/>
    </w:p>
    <w:p>
      <w:pPr>
        <w:ind w:firstLine="560"/>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授权单位名称：</w:t>
      </w:r>
      <w:r>
        <w:rPr>
          <w:rFonts w:hint="eastAsia" w:ascii="仿宋" w:hAnsi="仿宋" w:eastAsia="仿宋"/>
          <w:color w:val="auto"/>
          <w:sz w:val="28"/>
          <w:szCs w:val="28"/>
          <w:highlight w:val="none"/>
          <w:u w:val="single"/>
        </w:rPr>
        <w:t xml:space="preserve">（加盖CA电子公章）</w:t>
      </w:r>
      <w:r/>
    </w:p>
    <w:p>
      <w:pPr>
        <w:ind w:firstLine="560"/>
        <w:spacing w:line="360" w:lineRule="auto"/>
        <w:tabs>
          <w:tab w:val="left" w:pos="360" w:leader="none"/>
        </w:tabs>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单位地址：</w:t>
      </w:r>
      <w:r>
        <w:rPr>
          <w:rFonts w:hint="eastAsia" w:ascii="仿宋" w:hAnsi="仿宋" w:eastAsia="仿宋"/>
          <w:color w:val="auto"/>
          <w:sz w:val="28"/>
          <w:szCs w:val="28"/>
          <w:highlight w:val="none"/>
          <w:u w:val="single"/>
        </w:rPr>
        <w:t xml:space="preserve">                                         </w:t>
      </w:r>
      <w:r/>
    </w:p>
    <w:p>
      <w:pPr>
        <w:ind w:firstLine="560"/>
        <w:jc w:val="left"/>
        <w:spacing w:line="360" w:lineRule="auto"/>
        <w:tabs>
          <w:tab w:val="left" w:pos="3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w:t>
      </w:r>
      <w:r>
        <w:rPr>
          <w:rFonts w:ascii="仿宋" w:hAnsi="仿宋" w:eastAsia="仿宋" w:cs="Arial"/>
          <w:b/>
          <w:color w:val="auto"/>
          <w:sz w:val="28"/>
          <w:szCs w:val="28"/>
          <w:highlight w:val="none"/>
        </w:rPr>
        <w:br w:type="page" w:clear="all"/>
      </w:r>
      <w:r>
        <w:rPr>
          <w:rFonts w:hint="eastAsia" w:ascii="仿宋" w:hAnsi="仿宋" w:eastAsia="仿宋"/>
          <w:b/>
          <w:color w:val="auto"/>
          <w:sz w:val="28"/>
          <w:szCs w:val="28"/>
          <w:highlight w:val="none"/>
        </w:rPr>
        <w:t xml:space="preserve">附件7</w:t>
      </w:r>
      <w:r>
        <w:rPr>
          <w:rFonts w:ascii="仿宋" w:hAnsi="仿宋" w:eastAsia="仿宋"/>
          <w:b/>
          <w:color w:val="auto"/>
          <w:sz w:val="28"/>
          <w:szCs w:val="28"/>
          <w:highlight w:val="none"/>
        </w:rPr>
        <w:t xml:space="preserve">                       </w:t>
      </w:r>
      <w:r>
        <w:rPr>
          <w:rFonts w:hint="eastAsia" w:ascii="仿宋" w:hAnsi="仿宋" w:eastAsia="仿宋"/>
          <w:b/>
          <w:color w:val="auto"/>
          <w:sz w:val="28"/>
          <w:szCs w:val="28"/>
          <w:highlight w:val="none"/>
        </w:rPr>
        <w:t xml:space="preserve">投标函</w:t>
      </w:r>
      <w:r/>
    </w:p>
    <w:p>
      <w:pPr>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致：南通市公共资源交易中心</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eastAsia="仿宋"/>
          <w:bCs/>
          <w:color w:val="auto"/>
          <w:sz w:val="28"/>
          <w:highlight w:val="none"/>
          <w:u w:val="single"/>
        </w:rPr>
        <w:t xml:space="preserve">  </w:t>
      </w:r>
      <w:r>
        <w:rPr>
          <w:rFonts w:hint="eastAsia" w:eastAsia="仿宋"/>
          <w:bCs/>
          <w:color w:val="auto"/>
          <w:sz w:val="28"/>
          <w:highlight w:val="none"/>
          <w:u w:val="single"/>
        </w:rPr>
        <w:t xml:space="preserve">                              </w:t>
      </w:r>
      <w:r>
        <w:rPr>
          <w:rFonts w:hint="eastAsia" w:ascii="仿宋" w:hAnsi="仿宋" w:eastAsia="仿宋"/>
          <w:color w:val="auto"/>
          <w:sz w:val="28"/>
          <w:szCs w:val="28"/>
          <w:highlight w:val="none"/>
        </w:rPr>
        <w:t xml:space="preserve">招标文件，正式授权下述签字人_____(姓名)代表我方_______（投标人的名称），全权处理本次项目投标的有关事宜。</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1.按招标文件规定的各项要求，向买方提供所需货物（包含与货物相关的服务）。</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2.我们完全理解贵方不一定将合同授予最低报价的投标人。</w:t>
      </w:r>
      <w:r/>
    </w:p>
    <w:p>
      <w:pPr>
        <w:ind w:firstLine="56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.一旦我方中标,我方将根据招标文件的规定，严格履行合同的责任和义务,并保证在招标文件规定的时间完成项目，交付买方验收、使用。</w:t>
      </w:r>
      <w:r/>
    </w:p>
    <w:p>
      <w:pPr>
        <w:ind w:left="425"/>
        <w:jc w:val="left"/>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.与本投标有关的正式通讯地址为：</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邮          编：</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电          话：</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传          真：</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投标人开户行：</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账          号： </w:t>
      </w:r>
      <w:r/>
    </w:p>
    <w:p>
      <w:pPr>
        <w:ind w:left="420" w:firstLine="560"/>
        <w:jc w:val="left"/>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jc w:val="left"/>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附件8 </w:t>
      </w:r>
      <w:r/>
    </w:p>
    <w:p>
      <w:pPr>
        <w:ind w:firstLine="281"/>
        <w:jc w:val="cente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中小微企业声明函（货物类项目）</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2020</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46号)的规定，本公司（联合体）参加南通市公共资源交易中心组织的</w:t>
      </w:r>
      <w:r>
        <w:rPr>
          <w:rFonts w:hint="eastAsia" w:ascii="仿宋" w:hAnsi="仿宋" w:eastAsia="仿宋"/>
          <w:color w:val="auto"/>
          <w:sz w:val="28"/>
          <w:szCs w:val="28"/>
          <w:highlight w:val="none"/>
          <w:u w:val="single"/>
        </w:rPr>
        <w:t xml:space="preserve">（单位名称）</w:t>
      </w:r>
      <w:r>
        <w:rPr>
          <w:rFonts w:hint="eastAsia" w:ascii="仿宋" w:hAnsi="仿宋" w:eastAsia="仿宋"/>
          <w:color w:val="auto"/>
          <w:sz w:val="28"/>
          <w:szCs w:val="28"/>
          <w:highlight w:val="none"/>
        </w:rPr>
        <w:t xml:space="preserve">采购编号为</w:t>
      </w:r>
      <w:r>
        <w:rPr>
          <w:rFonts w:eastAsia="仿宋"/>
          <w:bCs/>
          <w:color w:val="auto"/>
          <w:sz w:val="28"/>
          <w:highlight w:val="none"/>
          <w:u w:val="single"/>
        </w:rPr>
        <w:t xml:space="preserve">  </w:t>
      </w:r>
      <w:r>
        <w:rPr>
          <w:rFonts w:hint="eastAsia" w:eastAsia="仿宋"/>
          <w:bCs/>
          <w:color w:val="auto"/>
          <w:sz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w:t>
      </w:r>
      <w:r>
        <w:rPr>
          <w:rFonts w:hint="eastAsia" w:ascii="仿宋" w:hAnsi="仿宋" w:eastAsia="仿宋"/>
          <w:color w:val="auto"/>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2011</w:t>
      </w:r>
      <w:r>
        <w:rPr>
          <w:rFonts w:hint="eastAsia" w:ascii="方正仿宋_GBK" w:hAnsi="方正仿宋_GBK" w:eastAsia="方正仿宋_GBK" w:cs="方正仿宋_GBK"/>
          <w:color w:val="auto"/>
          <w:sz w:val="28"/>
          <w:szCs w:val="28"/>
          <w:highlight w:val="none"/>
        </w:rPr>
        <w:t xml:space="preserve">〕</w:t>
      </w:r>
      <w:r>
        <w:rPr>
          <w:rFonts w:hint="eastAsia" w:ascii="仿宋" w:hAnsi="仿宋" w:eastAsia="仿宋"/>
          <w:color w:val="auto"/>
          <w:sz w:val="28"/>
          <w:szCs w:val="28"/>
          <w:highlight w:val="none"/>
        </w:rPr>
        <w:t xml:space="preserve">300号)的规定，相关企业（含联合体中的中小微企业、签订分包意向协议的中小微企业）的具体情况如下：</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行业；制造商为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right="180" w:firstLine="420"/>
        <w:jc w:val="right"/>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1.从业人员、营业收入、资产总额填报上一年度数据，无上一年度数据的新成立企业可不填报。</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2.专门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供应商如不提供此声明函，则</w:t>
      </w:r>
      <w:r>
        <w:rPr>
          <w:rFonts w:ascii="仿宋" w:hAnsi="仿宋" w:eastAsia="仿宋"/>
          <w:b/>
          <w:color w:val="auto"/>
          <w:sz w:val="28"/>
          <w:szCs w:val="28"/>
          <w:highlight w:val="none"/>
        </w:rPr>
        <w:t xml:space="preserve">不能通过资格审查；</w:t>
      </w:r>
      <w:r>
        <w:rPr>
          <w:rFonts w:hint="eastAsia" w:ascii="仿宋" w:hAnsi="仿宋" w:eastAsia="仿宋"/>
          <w:b/>
          <w:color w:val="auto"/>
          <w:sz w:val="28"/>
          <w:szCs w:val="28"/>
          <w:highlight w:val="none"/>
        </w:rPr>
        <w:t xml:space="preserve">非专门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供应商如不提供此声明函，价格将不做相应扣除。</w:t>
      </w:r>
      <w:r/>
    </w:p>
    <w:p>
      <w:pPr>
        <w:ind w:left="561"/>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3.供应商</w:t>
      </w:r>
      <w:r>
        <w:rPr>
          <w:rFonts w:ascii="仿宋" w:hAnsi="仿宋" w:eastAsia="仿宋"/>
          <w:color w:val="auto"/>
          <w:sz w:val="28"/>
          <w:szCs w:val="28"/>
          <w:highlight w:val="none"/>
        </w:rPr>
        <w:t xml:space="preserve">自行勾选</w:t>
      </w:r>
      <w:r>
        <w:rPr>
          <w:rFonts w:hint="eastAsia" w:ascii="仿宋" w:hAnsi="仿宋" w:eastAsia="仿宋"/>
          <w:color w:val="auto"/>
          <w:sz w:val="28"/>
          <w:szCs w:val="28"/>
          <w:highlight w:val="none"/>
        </w:rPr>
        <w:t xml:space="preserve">制造商</w:t>
      </w:r>
      <w:r>
        <w:rPr>
          <w:rFonts w:ascii="仿宋" w:hAnsi="仿宋" w:eastAsia="仿宋"/>
          <w:color w:val="auto"/>
          <w:sz w:val="28"/>
          <w:szCs w:val="28"/>
          <w:highlight w:val="none"/>
        </w:rPr>
        <w:t xml:space="preserve">的企业</w:t>
      </w:r>
      <w:r>
        <w:rPr>
          <w:rFonts w:hint="eastAsia" w:ascii="仿宋" w:hAnsi="仿宋" w:eastAsia="仿宋"/>
          <w:color w:val="auto"/>
          <w:sz w:val="28"/>
          <w:szCs w:val="28"/>
          <w:highlight w:val="none"/>
        </w:rPr>
        <w:t xml:space="preserve">规模类型</w:t>
      </w:r>
      <w:r>
        <w:rPr>
          <w:rFonts w:ascii="仿宋" w:hAnsi="仿宋" w:eastAsia="仿宋"/>
          <w:color w:val="auto"/>
          <w:sz w:val="28"/>
          <w:szCs w:val="28"/>
          <w:highlight w:val="none"/>
        </w:rPr>
        <w:t xml:space="preserve">。</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rPr>
          <w:rFonts w:hint="eastAsia" w:ascii="仿宋" w:hAnsi="仿宋" w:eastAsia="仿宋"/>
          <w:b/>
          <w:color w:val="auto"/>
          <w:sz w:val="28"/>
          <w:szCs w:val="28"/>
          <w:highlight w:val="none"/>
        </w:rPr>
        <w:t xml:space="preserve">附件9</w:t>
      </w:r>
      <w:r/>
    </w:p>
    <w:p>
      <w:pPr>
        <w:ind w:left="561" w:hanging="141"/>
        <w:jc w:val="center"/>
        <w:spacing w:line="360" w:lineRule="auto"/>
        <w:rPr>
          <w:rFonts w:hint="eastAsia" w:ascii="仿宋" w:hAnsi="仿宋" w:eastAsia="仿宋"/>
          <w:color w:val="auto"/>
          <w:sz w:val="28"/>
          <w:szCs w:val="28"/>
          <w:highlight w:val="none"/>
        </w:rPr>
      </w:pPr>
      <w:r>
        <w:rPr>
          <w:rFonts w:hint="eastAsia" w:ascii="仿宋" w:hAnsi="仿宋" w:eastAsia="仿宋"/>
          <w:b/>
          <w:color w:val="auto"/>
          <w:sz w:val="28"/>
          <w:szCs w:val="28"/>
          <w:highlight w:val="none"/>
        </w:rPr>
        <w:t xml:space="preserve">残疾人福利性单位声明函（货物类项目）</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eastAsia="仿宋"/>
          <w:bCs/>
          <w:color w:val="auto"/>
          <w:sz w:val="28"/>
          <w:highlight w:val="none"/>
          <w:u w:val="single"/>
        </w:rPr>
        <w:t xml:space="preserve"> </w:t>
      </w:r>
      <w:r>
        <w:rPr>
          <w:rFonts w:hint="eastAsia" w:eastAsia="仿宋"/>
          <w:bCs/>
          <w:color w:val="auto"/>
          <w:sz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2"/>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w:t>
      </w:r>
      <w:r>
        <w:rPr>
          <w:rFonts w:hint="eastAsia" w:ascii="仿宋" w:hAnsi="仿宋" w:eastAsia="仿宋"/>
          <w:b/>
          <w:color w:val="auto"/>
          <w:sz w:val="28"/>
          <w:szCs w:val="28"/>
          <w:highlight w:val="none"/>
        </w:rPr>
        <w:t xml:space="preserve">专门面向中小微型企业采购的</w:t>
      </w:r>
      <w:r>
        <w:rPr>
          <w:rFonts w:ascii="仿宋" w:hAnsi="仿宋" w:eastAsia="仿宋"/>
          <w:b/>
          <w:color w:val="auto"/>
          <w:sz w:val="28"/>
          <w:szCs w:val="28"/>
          <w:highlight w:val="none"/>
        </w:rPr>
        <w:t xml:space="preserve">项目</w:t>
      </w:r>
      <w:r>
        <w:rPr>
          <w:rFonts w:hint="eastAsia" w:ascii="仿宋" w:hAnsi="仿宋" w:eastAsia="仿宋"/>
          <w:b/>
          <w:color w:val="auto"/>
          <w:sz w:val="28"/>
          <w:szCs w:val="28"/>
          <w:highlight w:val="none"/>
        </w:rPr>
        <w:t xml:space="preserve">，供应商为残疾人福利性单位并提供本单位制造的货物，或者提供其他残疾人福利性单位制造的货物，必须提供此</w:t>
      </w:r>
      <w:r>
        <w:rPr>
          <w:rFonts w:ascii="仿宋" w:hAnsi="仿宋" w:eastAsia="仿宋"/>
          <w:b/>
          <w:color w:val="auto"/>
          <w:sz w:val="28"/>
          <w:szCs w:val="28"/>
          <w:highlight w:val="none"/>
        </w:rPr>
        <w:t xml:space="preserve">声明函</w:t>
      </w:r>
      <w:r>
        <w:rPr>
          <w:rFonts w:hint="eastAsia" w:ascii="仿宋" w:hAnsi="仿宋" w:eastAsia="仿宋"/>
          <w:b/>
          <w:color w:val="auto"/>
          <w:sz w:val="28"/>
          <w:szCs w:val="28"/>
          <w:highlight w:val="none"/>
        </w:rPr>
        <w:t xml:space="preserve">，</w:t>
      </w:r>
      <w:r>
        <w:rPr>
          <w:rFonts w:ascii="仿宋" w:hAnsi="仿宋" w:eastAsia="仿宋"/>
          <w:b/>
          <w:color w:val="auto"/>
          <w:sz w:val="28"/>
          <w:szCs w:val="28"/>
          <w:highlight w:val="none"/>
        </w:rPr>
        <w:t xml:space="preserve">否则将</w:t>
      </w:r>
      <w:r>
        <w:rPr>
          <w:rFonts w:hint="eastAsia" w:ascii="仿宋" w:hAnsi="仿宋" w:eastAsia="仿宋"/>
          <w:b/>
          <w:color w:val="auto"/>
          <w:sz w:val="28"/>
          <w:szCs w:val="28"/>
          <w:highlight w:val="none"/>
        </w:rPr>
        <w:t xml:space="preserve">不能</w:t>
      </w:r>
      <w:r>
        <w:rPr>
          <w:rFonts w:ascii="仿宋" w:hAnsi="仿宋" w:eastAsia="仿宋"/>
          <w:b/>
          <w:color w:val="auto"/>
          <w:sz w:val="28"/>
          <w:szCs w:val="28"/>
          <w:highlight w:val="none"/>
        </w:rPr>
        <w:t xml:space="preserve">通过资格审查</w:t>
      </w:r>
      <w:r>
        <w:rPr>
          <w:rFonts w:hint="eastAsia" w:ascii="仿宋" w:hAnsi="仿宋" w:eastAsia="仿宋"/>
          <w:b/>
          <w:color w:val="auto"/>
          <w:sz w:val="28"/>
          <w:szCs w:val="28"/>
          <w:highlight w:val="none"/>
        </w:rPr>
        <w:t xml:space="preserve">。</w:t>
      </w:r>
      <w:r/>
    </w:p>
    <w:p>
      <w:pPr>
        <w:ind w:firstLine="560"/>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 非专门面向中小微型企业采购的</w:t>
      </w:r>
      <w:r>
        <w:rPr>
          <w:rFonts w:ascii="仿宋" w:hAnsi="仿宋" w:eastAsia="仿宋"/>
          <w:color w:val="auto"/>
          <w:sz w:val="28"/>
          <w:szCs w:val="28"/>
          <w:highlight w:val="none"/>
        </w:rPr>
        <w:t xml:space="preserve">项目</w:t>
      </w:r>
      <w:r>
        <w:rPr>
          <w:rFonts w:hint="eastAsia" w:ascii="仿宋" w:hAnsi="仿宋" w:eastAsia="仿宋"/>
          <w:color w:val="auto"/>
          <w:sz w:val="28"/>
          <w:szCs w:val="28"/>
          <w:highlight w:val="none"/>
        </w:rPr>
        <w:t xml:space="preserve">，供应商如不提供此声明函，价格将不做相应扣除。</w:t>
      </w:r>
      <w:r/>
    </w:p>
    <w:p>
      <w:pPr>
        <w:ind w:firstLine="560"/>
        <w:spacing w:line="36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.中标/成交供应商为残疾人福利性单位的，此声明函将随中标/成交结果同时公告，接受社会监督。</w:t>
      </w:r>
      <w:r/>
    </w:p>
    <w:p>
      <w:pPr>
        <w:pStyle w:val="927"/>
        <w:ind w:firstLine="0"/>
        <w:rPr>
          <w:color w:val="auto"/>
          <w:highlight w:val="none"/>
          <w:lang w:eastAsia="zh-CN"/>
        </w:rPr>
      </w:pPr>
      <w:r>
        <w:rPr>
          <w:color w:val="auto"/>
          <w:highlight w:val="none"/>
          <w:lang w:eastAsia="zh-CN"/>
        </w:rPr>
      </w:r>
      <w:r/>
    </w:p>
    <w:p>
      <w:pPr>
        <w:pStyle w:val="927"/>
        <w:ind w:firstLine="600"/>
        <w:rPr>
          <w:color w:val="auto"/>
          <w:highlight w:val="none"/>
          <w:lang w:eastAsia="zh-CN"/>
        </w:rPr>
      </w:pPr>
      <w:r>
        <w:rPr>
          <w:color w:val="auto"/>
          <w:highlight w:val="none"/>
          <w:lang w:eastAsia="zh-CN"/>
        </w:rPr>
      </w:r>
      <w:r/>
    </w:p>
    <w:p>
      <w:pPr>
        <w:ind w:right="1559" w:firstLine="584"/>
        <w:jc w:val="right"/>
        <w:spacing w:line="360" w:lineRule="auto"/>
        <w:tabs>
          <w:tab w:val="left" w:pos="4860" w:leader="none"/>
        </w:tabs>
        <w:rPr>
          <w:rFonts w:hint="eastAsia"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供应商全称（加盖</w:t>
      </w:r>
      <w:r>
        <w:rPr>
          <w:rFonts w:eastAsia="仿宋"/>
          <w:color w:val="auto"/>
          <w:sz w:val="28"/>
          <w:szCs w:val="28"/>
          <w:highlight w:val="none"/>
        </w:rPr>
        <w:t xml:space="preserve">CA</w:t>
      </w:r>
      <w:r>
        <w:rPr>
          <w:rFonts w:hint="eastAsia" w:ascii="仿宋" w:hAnsi="仿宋" w:eastAsia="仿宋"/>
          <w:color w:val="auto"/>
          <w:sz w:val="28"/>
          <w:szCs w:val="28"/>
          <w:highlight w:val="none"/>
        </w:rPr>
        <w:t xml:space="preserve">电子章）：</w:t>
      </w:r>
      <w:r/>
    </w:p>
    <w:p>
      <w:pPr>
        <w:ind w:right="1559" w:firstLine="560"/>
        <w:jc w:val="right"/>
        <w:spacing w:line="360" w:lineRule="auto"/>
        <w:tabs>
          <w:tab w:val="left" w:pos="4860" w:leader="none"/>
        </w:tabs>
        <w:rPr>
          <w:color w:val="auto"/>
          <w:highlight w:val="none"/>
        </w:rPr>
      </w:pPr>
      <w:r>
        <w:rPr>
          <w:rFonts w:hint="eastAsia" w:ascii="仿宋" w:hAnsi="仿宋" w:eastAsia="仿宋"/>
          <w:color w:val="auto"/>
          <w:sz w:val="28"/>
          <w:szCs w:val="28"/>
          <w:highlight w:val="none"/>
        </w:rPr>
        <w:t xml:space="preserve">        日  期：</w:t>
      </w:r>
      <w:bookmarkEnd w:id="187"/>
      <w:r/>
      <w:bookmarkEnd w:id="188"/>
      <w:r/>
      <w:bookmarkEnd w:id="189"/>
      <w:r/>
      <w:r/>
    </w:p>
    <w:p>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843"/>
        <w:jc w:val="left"/>
        <w:pageBreakBefore/>
        <w:spacing w:line="360" w:lineRule="auto"/>
        <w:rPr>
          <w:rFonts w:hint="eastAsia" w:ascii="仿宋" w:hAnsi="仿宋" w:eastAsia="仿宋" w:cs="仿宋"/>
          <w:b/>
          <w:bCs/>
          <w:color w:val="auto"/>
          <w:sz w:val="28"/>
          <w:szCs w:val="28"/>
          <w:highlight w:val="none"/>
        </w:rPr>
      </w:pPr>
      <w:r>
        <w:rPr>
          <w:rFonts w:hint="eastAsia" w:ascii="仿宋" w:hAnsi="仿宋" w:eastAsia="仿宋"/>
          <w:b/>
          <w:color w:val="auto"/>
          <w:sz w:val="28"/>
          <w:szCs w:val="28"/>
          <w:highlight w:val="none"/>
        </w:rPr>
        <w:t xml:space="preserve">                     </w:t>
      </w:r>
      <w:r>
        <w:rPr>
          <w:rFonts w:hint="eastAsia" w:ascii="仿宋" w:hAnsi="仿宋" w:eastAsia="仿宋" w:cs="仿宋"/>
          <w:b/>
          <w:bCs/>
          <w:color w:val="auto"/>
          <w:sz w:val="28"/>
          <w:szCs w:val="28"/>
          <w:highlight w:val="none"/>
        </w:rPr>
        <w:t xml:space="preserve">质疑函范本</w:t>
      </w:r>
      <w:r/>
    </w:p>
    <w:p>
      <w:pPr>
        <w:spacing w:before="29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一、质疑供应商基本信息</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二、质疑项目基本情况</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包号：</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三、质疑事项具体内容</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四、与质疑事项相关的质疑请求</w:t>
      </w:r>
      <w:r/>
    </w:p>
    <w:p>
      <w:pPr>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rPr>
          <w:rFonts w:hint="eastAsia" w:ascii="仿宋" w:hAnsi="仿宋" w:eastAsia="仿宋" w:cs="仿宋"/>
          <w:color w:val="auto"/>
          <w:sz w:val="28"/>
          <w:szCs w:val="28"/>
          <w:highlight w:val="none"/>
          <w:u w:val="single"/>
        </w:rPr>
        <w:t xml:space="preserve">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签字(签章)：                   公章：                      </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日期：    </w:t>
      </w:r>
      <w:r/>
    </w:p>
    <w:p>
      <w:pPr>
        <w:spacing w:line="360" w:lineRule="auto"/>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质疑函制作说明：</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1.供应商提出质疑时，应提交质疑函和必要的证明材料。</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8"/>
          <w:szCs w:val="28"/>
          <w:highlight w:val="none"/>
        </w:rPr>
        <w:t xml:space="preserve">供应商签署的授权委托书。授权委托书应载明代理人的姓名或者名称、代理事项、具体权限、期限和相关事项。</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3.质疑供应商若对项目的某一分包进行质疑，质疑函中应列明具体分包号。</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4.质疑函的质疑事项应具体、明确，并有必要的事实依据和法律依据。</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5.质疑函的质疑请求应与质疑事项相关。</w:t>
      </w:r>
      <w:r/>
    </w:p>
    <w:p>
      <w:pPr>
        <w:ind w:firstLine="561"/>
        <w:jc w:val="left"/>
        <w:spacing w:line="360" w:lineRule="auto"/>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7"/>
        <w:jc w:val="center"/>
        <w:rPr>
          <w:color w:val="auto"/>
          <w:highlight w:val="none"/>
          <w:lang w:eastAsia="zh-CN"/>
        </w:rPr>
      </w:pPr>
      <w:r>
        <w:rPr>
          <w:rFonts w:hint="eastAsia"/>
          <w:color w:val="auto"/>
          <w:sz w:val="24"/>
          <w:szCs w:val="24"/>
          <w:highlight w:val="none"/>
          <w:lang w:eastAsia="zh-CN"/>
        </w:rPr>
        <w:br w:type="page" w:clear="all"/>
      </w:r>
      <w:r/>
    </w:p>
    <w:p>
      <w:pPr>
        <w:jc w:val="center"/>
        <w:rPr>
          <w:color w:val="auto"/>
          <w:sz w:val="44"/>
          <w:szCs w:val="44"/>
          <w:highlight w:val="none"/>
        </w:rPr>
      </w:pPr>
      <w:r>
        <w:rPr>
          <w:rFonts w:hint="eastAsia" w:eastAsia="Times New Roman"/>
          <w:color w:val="auto"/>
          <w:sz w:val="44"/>
          <w:szCs w:val="44"/>
          <w:highlight w:val="none"/>
        </w:rPr>
        <w:t xml:space="preserve">南通市公共资源交易中心</w:t>
      </w:r>
      <w:r/>
    </w:p>
    <w:p>
      <w:pPr>
        <w:jc w:val="center"/>
        <w:rPr>
          <w:color w:val="auto"/>
          <w:sz w:val="44"/>
          <w:szCs w:val="44"/>
          <w:highlight w:val="none"/>
        </w:rPr>
      </w:pPr>
      <w:r>
        <w:rPr>
          <w:rFonts w:eastAsia="Times New Roman"/>
          <w:color w:val="auto"/>
          <w:sz w:val="44"/>
          <w:szCs w:val="44"/>
          <w:highlight w:val="none"/>
        </w:rPr>
        <w:t xml:space="preserve">政府采购供应商友情提醒</w:t>
      </w:r>
      <w:r/>
    </w:p>
    <w:p>
      <w:pPr>
        <w:spacing w:line="500" w:lineRule="exact"/>
        <w:rPr>
          <w:rFonts w:eastAsia="方正仿宋_GBK"/>
          <w:color w:val="auto"/>
          <w:sz w:val="30"/>
          <w:szCs w:val="30"/>
          <w:highlight w:val="none"/>
        </w:rPr>
      </w:pPr>
      <w:r>
        <w:rPr>
          <w:rFonts w:eastAsia="方正仿宋_GBK"/>
          <w:color w:val="auto"/>
          <w:sz w:val="30"/>
          <w:szCs w:val="30"/>
          <w:highlight w:val="none"/>
        </w:rPr>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为帮助供应商顺利参与政府采购项目，提高采购质效，</w:t>
      </w:r>
      <w:r>
        <w:rPr>
          <w:rFonts w:hint="eastAsia" w:eastAsia="方正仿宋_GBK"/>
          <w:color w:val="auto"/>
          <w:sz w:val="30"/>
          <w:szCs w:val="30"/>
          <w:highlight w:val="none"/>
        </w:rPr>
        <w:t xml:space="preserve">南通市公共资源交易（以下简称“</w:t>
      </w:r>
      <w:r>
        <w:rPr>
          <w:rFonts w:eastAsia="方正仿宋_GBK"/>
          <w:color w:val="auto"/>
          <w:sz w:val="30"/>
          <w:szCs w:val="30"/>
          <w:highlight w:val="none"/>
        </w:rPr>
        <w:t xml:space="preserve">中心</w:t>
      </w:r>
      <w:r>
        <w:rPr>
          <w:rFonts w:hint="eastAsia" w:eastAsia="方正仿宋_GBK"/>
          <w:color w:val="auto"/>
          <w:sz w:val="30"/>
          <w:szCs w:val="30"/>
          <w:highlight w:val="none"/>
        </w:rPr>
        <w:t xml:space="preserve">”）</w:t>
      </w:r>
      <w:r>
        <w:rPr>
          <w:rFonts w:eastAsia="方正仿宋_GBK"/>
          <w:color w:val="auto"/>
          <w:sz w:val="30"/>
          <w:szCs w:val="30"/>
          <w:highlight w:val="none"/>
        </w:rPr>
        <w:t xml:space="preserve">汇总了供应商在参与政府采购项目中的常见问题，现将有关常见问题提醒如下：</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一、如何参与政府采购项目？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答：（1）潜在供应商如有意向参与中心政府采购项目，必须按照以下方法进行操作，方可视为参与成功。</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采购文件及其附件（如有）会在江苏省政府采购网进行公示，供应商可前往江苏省政府采购网查看下载，请注意，</w:t>
      </w:r>
      <w:r>
        <w:rPr>
          <w:rFonts w:hint="eastAsia" w:eastAsia="方正仿宋_GBK"/>
          <w:color w:val="auto"/>
          <w:sz w:val="30"/>
          <w:szCs w:val="30"/>
          <w:highlight w:val="none"/>
        </w:rPr>
        <w:t xml:space="preserve">采购文件获取时限</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自</w:t>
      </w:r>
      <w:r>
        <w:rPr>
          <w:rFonts w:eastAsia="方正仿宋_GBK"/>
          <w:color w:val="auto"/>
          <w:sz w:val="30"/>
          <w:szCs w:val="30"/>
          <w:highlight w:val="none"/>
        </w:rPr>
        <w:t xml:space="preserve">采购公告发布之日起5个工作日内，仅在江苏省政府采购网下载</w:t>
      </w:r>
      <w:r>
        <w:rPr>
          <w:rFonts w:hint="eastAsia" w:eastAsia="方正仿宋_GBK"/>
          <w:color w:val="auto"/>
          <w:sz w:val="30"/>
          <w:szCs w:val="30"/>
          <w:highlight w:val="none"/>
        </w:rPr>
        <w:t xml:space="preserve">采购</w:t>
      </w:r>
      <w:r>
        <w:rPr>
          <w:rFonts w:eastAsia="方正仿宋_GBK"/>
          <w:color w:val="auto"/>
          <w:sz w:val="30"/>
          <w:szCs w:val="30"/>
          <w:highlight w:val="none"/>
        </w:rPr>
        <w:t xml:space="preserve">文件无法参与后续项目投标。</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（2）“CA数字证书”的办理材料以及供应商操作手册详见：</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http://www.ccgp-jiangsu.gov.cn/jiangsu/zlxz/ee/ee3a4bc5a3454aa2b0d9312230633ce9.html</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二、如何正确填写《中小企业声明函》？</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答：受中小企业扶持政策的供应商应当满足下列条件：在货物采购项目中，货物应当由中小企业</w:t>
      </w:r>
      <w:r>
        <w:rPr>
          <w:rFonts w:eastAsia="方正仿宋_GBK"/>
          <w:b/>
          <w:bCs/>
          <w:color w:val="auto"/>
          <w:sz w:val="30"/>
          <w:szCs w:val="30"/>
          <w:highlight w:val="none"/>
        </w:rPr>
        <w:t xml:space="preserve">制造</w:t>
      </w:r>
      <w:r>
        <w:rPr>
          <w:rFonts w:eastAsia="方正仿宋_GBK"/>
          <w:color w:val="auto"/>
          <w:sz w:val="30"/>
          <w:szCs w:val="30"/>
          <w:highlight w:val="none"/>
        </w:rPr>
        <w:t xml:space="preserve">，不对其中涉及的服务的承接商作出要求。货物类项目制造商在填写中小企业声明函时，需按照采购标的中的标的清单</w:t>
      </w:r>
      <w:r>
        <w:rPr>
          <w:rFonts w:eastAsia="方正仿宋_GBK"/>
          <w:b/>
          <w:bCs/>
          <w:color w:val="auto"/>
          <w:sz w:val="30"/>
          <w:szCs w:val="30"/>
          <w:highlight w:val="none"/>
        </w:rPr>
        <w:t xml:space="preserve">逐项进行响应</w:t>
      </w:r>
      <w:r>
        <w:rPr>
          <w:rFonts w:eastAsia="方正仿宋_GBK"/>
          <w:color w:val="auto"/>
          <w:sz w:val="30"/>
          <w:szCs w:val="30"/>
          <w:highlight w:val="none"/>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如采购项目允许分包，所有分包供应商也需按照采购项目的属性提供《中小企业声明函》，否则视为不享受中小企业扶持政策。</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三、填写附件的时候有哪些需要注意的？</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四、报价时有哪些注意事项？</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此外，供应商最终报价</w:t>
      </w:r>
      <w:r>
        <w:rPr>
          <w:rFonts w:hint="eastAsia" w:eastAsia="方正仿宋_GBK"/>
          <w:color w:val="auto"/>
          <w:sz w:val="30"/>
          <w:szCs w:val="30"/>
          <w:highlight w:val="none"/>
        </w:rPr>
        <w:t xml:space="preserve">出现下列情形之一的，评审委员会将启动异常低价投标（响应）审查程序：</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1.投标（响应）报价低于采购项目预算50%的，即投标（响应）报价&lt;采购项目预算×50%；</w:t>
      </w:r>
      <w:r/>
    </w:p>
    <w:p>
      <w:pPr>
        <w:ind w:firstLine="600"/>
        <w:spacing w:line="500" w:lineRule="exact"/>
        <w:rPr>
          <w:rFonts w:eastAsia="方正仿宋_GBK"/>
          <w:color w:val="auto"/>
          <w:sz w:val="30"/>
          <w:szCs w:val="30"/>
          <w:highlight w:val="none"/>
        </w:rPr>
      </w:pPr>
      <w:r>
        <w:rPr>
          <w:rFonts w:hint="eastAsia" w:eastAsia="方正仿宋_GBK"/>
          <w:color w:val="auto"/>
          <w:sz w:val="30"/>
          <w:szCs w:val="30"/>
          <w:highlight w:val="none"/>
        </w:rPr>
        <w:t xml:space="preserve">2.投标（响应）报价低于采购项目最高限价45%的，即投标（响应）报价&lt;采购项目最高限价×45%；</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3</w:t>
      </w:r>
      <w:r>
        <w:rPr>
          <w:rFonts w:hint="eastAsia" w:eastAsia="方正仿宋_GBK"/>
          <w:color w:val="auto"/>
          <w:sz w:val="30"/>
          <w:szCs w:val="30"/>
          <w:highlight w:val="none"/>
        </w:rPr>
        <w:t xml:space="preserve">.评审委员会认定的供应商报价过低、有可能影响产品质量或者不能诚信履约的其他情形。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启动异常低价投标（响应）审查后，评审委员会</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各</w:t>
      </w:r>
      <w:r>
        <w:rPr>
          <w:rFonts w:hint="eastAsia" w:eastAsia="方正仿宋_GBK"/>
          <w:color w:val="auto"/>
          <w:sz w:val="30"/>
          <w:szCs w:val="30"/>
          <w:highlight w:val="none"/>
        </w:rPr>
        <w:t xml:space="preserve">投标（响应）</w:t>
      </w:r>
      <w:r>
        <w:rPr>
          <w:rFonts w:eastAsia="方正仿宋_GBK"/>
          <w:color w:val="auto"/>
          <w:sz w:val="30"/>
          <w:szCs w:val="30"/>
          <w:highlight w:val="none"/>
        </w:rPr>
        <w:t xml:space="preserve">供应商应当</w:t>
      </w:r>
      <w:r>
        <w:rPr>
          <w:rFonts w:hint="eastAsia" w:eastAsia="方正仿宋_GBK"/>
          <w:color w:val="auto"/>
          <w:sz w:val="30"/>
          <w:szCs w:val="30"/>
          <w:highlight w:val="none"/>
        </w:rPr>
        <w:t xml:space="preserve">始终</w:t>
      </w:r>
      <w:r>
        <w:rPr>
          <w:rFonts w:eastAsia="方正仿宋_GBK"/>
          <w:color w:val="auto"/>
          <w:sz w:val="30"/>
          <w:szCs w:val="30"/>
          <w:highlight w:val="none"/>
        </w:rPr>
        <w:t xml:space="preserve">关注开标大厅</w:t>
      </w:r>
      <w:r>
        <w:rPr>
          <w:rFonts w:hint="eastAsia" w:eastAsia="方正仿宋_GBK"/>
          <w:color w:val="auto"/>
          <w:sz w:val="30"/>
          <w:szCs w:val="30"/>
          <w:highlight w:val="none"/>
        </w:rPr>
        <w:t xml:space="preserve">，</w:t>
      </w:r>
      <w:r>
        <w:rPr>
          <w:rFonts w:eastAsia="方正仿宋_GBK"/>
          <w:color w:val="auto"/>
          <w:sz w:val="30"/>
          <w:szCs w:val="30"/>
          <w:highlight w:val="none"/>
        </w:rPr>
        <w:t xml:space="preserve">并</w:t>
      </w:r>
      <w:r>
        <w:rPr>
          <w:rFonts w:hint="eastAsia" w:eastAsia="方正仿宋_GBK"/>
          <w:color w:val="auto"/>
          <w:sz w:val="30"/>
          <w:szCs w:val="30"/>
          <w:highlight w:val="none"/>
        </w:rPr>
        <w:t xml:space="preserve">及时</w:t>
      </w:r>
      <w:r>
        <w:rPr>
          <w:rFonts w:eastAsia="方正仿宋_GBK"/>
          <w:color w:val="auto"/>
          <w:sz w:val="30"/>
          <w:szCs w:val="30"/>
          <w:highlight w:val="none"/>
        </w:rPr>
        <w:t xml:space="preserve">进行响应。</w:t>
      </w:r>
      <w:r>
        <w:rPr>
          <w:rFonts w:hint="eastAsia" w:eastAsia="方正仿宋_GBK"/>
          <w:color w:val="auto"/>
          <w:sz w:val="30"/>
          <w:szCs w:val="30"/>
          <w:highlight w:val="none"/>
        </w:rPr>
        <w:t xml:space="preserve">如</w:t>
      </w:r>
      <w:r>
        <w:rPr>
          <w:rFonts w:eastAsia="方正仿宋_GBK"/>
          <w:color w:val="auto"/>
          <w:sz w:val="30"/>
          <w:szCs w:val="30"/>
          <w:highlight w:val="none"/>
        </w:rPr>
        <w:t xml:space="preserve">投标（响应）供应商不提供书面说明、证明材料，或者提供的书面说明、证明材料不能证明其报价合理性的，评审委员会</w:t>
      </w:r>
      <w:r>
        <w:rPr>
          <w:rFonts w:hint="eastAsia" w:eastAsia="方正仿宋_GBK"/>
          <w:color w:val="auto"/>
          <w:sz w:val="30"/>
          <w:szCs w:val="30"/>
          <w:highlight w:val="none"/>
        </w:rPr>
        <w:t xml:space="preserve">有权</w:t>
      </w:r>
      <w:r>
        <w:rPr>
          <w:rFonts w:eastAsia="方正仿宋_GBK"/>
          <w:color w:val="auto"/>
          <w:sz w:val="30"/>
          <w:szCs w:val="30"/>
          <w:highlight w:val="none"/>
        </w:rPr>
        <w:t xml:space="preserve">将其作为无效投标（响应）处理。</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对报价异常低且经评审委员会启动相关审查机制后仍中标或成交的供应商，采购人</w:t>
      </w:r>
      <w:r>
        <w:rPr>
          <w:rFonts w:hint="eastAsia" w:eastAsia="方正仿宋_GBK"/>
          <w:color w:val="auto"/>
          <w:sz w:val="30"/>
          <w:szCs w:val="30"/>
          <w:highlight w:val="none"/>
        </w:rPr>
        <w:t xml:space="preserve">将</w:t>
      </w:r>
      <w:r>
        <w:rPr>
          <w:rFonts w:eastAsia="方正仿宋_GBK"/>
          <w:color w:val="auto"/>
          <w:sz w:val="30"/>
          <w:szCs w:val="30"/>
          <w:highlight w:val="none"/>
        </w:rPr>
        <w:t xml:space="preserve">重点关注其履约能力、履约承诺、实际履约情况等。</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五、开评标过程中供应商的注意事项有哪些？</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2"/>
        <w:spacing w:line="500" w:lineRule="exact"/>
        <w:rPr>
          <w:rFonts w:eastAsia="方正仿宋_GBK"/>
          <w:b/>
          <w:bCs/>
          <w:color w:val="auto"/>
          <w:sz w:val="30"/>
          <w:szCs w:val="30"/>
          <w:highlight w:val="none"/>
        </w:rPr>
      </w:pPr>
      <w:r>
        <w:rPr>
          <w:rFonts w:eastAsia="方正仿宋_GBK"/>
          <w:b/>
          <w:bCs/>
          <w:color w:val="auto"/>
          <w:sz w:val="30"/>
          <w:szCs w:val="30"/>
          <w:highlight w:val="none"/>
        </w:rPr>
        <w:t xml:space="preserve">六、评标结束后什么时候能查询结果？如何查询？</w:t>
      </w:r>
      <w:r/>
    </w:p>
    <w:p>
      <w:pPr>
        <w:ind w:firstLine="600"/>
        <w:spacing w:line="500" w:lineRule="exact"/>
        <w:rPr>
          <w:rFonts w:eastAsia="方正仿宋_GBK"/>
          <w:color w:val="auto"/>
          <w:sz w:val="30"/>
          <w:szCs w:val="30"/>
          <w:highlight w:val="none"/>
        </w:rPr>
      </w:pPr>
      <w:r>
        <w:rPr>
          <w:rFonts w:eastAsia="方正仿宋_GBK"/>
          <w:color w:val="auto"/>
          <w:sz w:val="30"/>
          <w:szCs w:val="30"/>
          <w:highlight w:val="none"/>
        </w:rPr>
        <w:t xml:space="preserve">答：</w:t>
      </w:r>
      <w:r>
        <w:rPr>
          <w:rFonts w:hint="eastAsia" w:eastAsia="方正仿宋_GBK"/>
          <w:color w:val="auto"/>
          <w:sz w:val="30"/>
          <w:szCs w:val="30"/>
          <w:highlight w:val="none"/>
        </w:rPr>
        <w:t xml:space="preserve">对于采用公开招标或封闭式框架协议方式采购的项目，</w:t>
      </w:r>
      <w:r>
        <w:rPr>
          <w:rFonts w:eastAsia="方正仿宋_GBK"/>
          <w:color w:val="auto"/>
          <w:sz w:val="30"/>
          <w:szCs w:val="30"/>
          <w:highlight w:val="none"/>
        </w:rPr>
        <w:t xml:space="preserve">项目中标</w:t>
      </w:r>
      <w:r>
        <w:rPr>
          <w:rFonts w:hint="eastAsia" w:eastAsia="方正仿宋_GBK"/>
          <w:color w:val="auto"/>
          <w:sz w:val="30"/>
          <w:szCs w:val="30"/>
          <w:highlight w:val="none"/>
        </w:rPr>
        <w:t xml:space="preserve">（入围）</w:t>
      </w:r>
      <w:r>
        <w:rPr>
          <w:rFonts w:eastAsia="方正仿宋_GBK"/>
          <w:color w:val="auto"/>
          <w:sz w:val="30"/>
          <w:szCs w:val="30"/>
          <w:highlight w:val="none"/>
        </w:rPr>
        <w:t xml:space="preserve">公告</w:t>
      </w:r>
      <w:r>
        <w:rPr>
          <w:rFonts w:hint="eastAsia" w:eastAsia="方正仿宋_GBK"/>
          <w:color w:val="auto"/>
          <w:sz w:val="30"/>
          <w:szCs w:val="30"/>
          <w:highlight w:val="none"/>
        </w:rPr>
        <w:t xml:space="preserve">发布</w:t>
      </w:r>
      <w:r>
        <w:rPr>
          <w:rFonts w:eastAsia="方正仿宋_GBK"/>
          <w:color w:val="auto"/>
          <w:sz w:val="30"/>
          <w:szCs w:val="30"/>
          <w:highlight w:val="none"/>
        </w:rPr>
        <w:t xml:space="preserve">，参与供应商即可在</w:t>
      </w:r>
      <w:r>
        <w:rPr>
          <w:rFonts w:hint="eastAsia" w:eastAsia="方正仿宋_GBK"/>
          <w:color w:val="auto"/>
          <w:sz w:val="30"/>
          <w:szCs w:val="30"/>
          <w:highlight w:val="none"/>
        </w:rPr>
        <w:t xml:space="preserve">“</w:t>
      </w:r>
      <w:r>
        <w:rPr>
          <w:rFonts w:eastAsia="方正仿宋_GBK"/>
          <w:color w:val="auto"/>
          <w:sz w:val="30"/>
          <w:szCs w:val="30"/>
          <w:highlight w:val="none"/>
        </w:rPr>
        <w:t xml:space="preserve">苏采云</w:t>
      </w:r>
      <w:r>
        <w:rPr>
          <w:rFonts w:hint="eastAsia" w:eastAsia="方正仿宋_GBK"/>
          <w:color w:val="auto"/>
          <w:sz w:val="30"/>
          <w:szCs w:val="30"/>
          <w:highlight w:val="none"/>
        </w:rPr>
        <w:t xml:space="preserve">”</w:t>
      </w:r>
      <w:r>
        <w:rPr>
          <w:rFonts w:eastAsia="方正仿宋_GBK"/>
          <w:color w:val="auto"/>
          <w:sz w:val="30"/>
          <w:szCs w:val="30"/>
          <w:highlight w:val="none"/>
        </w:rPr>
        <w:t xml:space="preserve">系统中查看</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w:t>
      </w:r>
      <w:r/>
    </w:p>
    <w:p>
      <w:pPr>
        <w:ind w:firstLine="600"/>
        <w:spacing w:line="500" w:lineRule="exact"/>
        <w:rPr>
          <w:rFonts w:eastAsia="方正仿宋_GBK"/>
          <w:color w:val="auto"/>
          <w:sz w:val="30"/>
          <w:szCs w:val="30"/>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eastAsia="方正仿宋_GBK"/>
          <w:color w:val="auto"/>
          <w:sz w:val="30"/>
          <w:szCs w:val="30"/>
          <w:highlight w:val="none"/>
        </w:rPr>
        <w:t xml:space="preserve">供应商查询</w:t>
      </w:r>
      <w:r>
        <w:rPr>
          <w:rFonts w:hint="eastAsia" w:eastAsia="方正仿宋_GBK"/>
          <w:color w:val="auto"/>
          <w:sz w:val="30"/>
          <w:szCs w:val="30"/>
          <w:highlight w:val="none"/>
        </w:rPr>
        <w:t xml:space="preserve">评审</w:t>
      </w:r>
      <w:r>
        <w:rPr>
          <w:rFonts w:eastAsia="方正仿宋_GBK"/>
          <w:color w:val="auto"/>
          <w:sz w:val="30"/>
          <w:szCs w:val="30"/>
          <w:highlight w:val="none"/>
        </w:rPr>
        <w:t xml:space="preserve">结果的</w:t>
      </w:r>
      <w:r>
        <w:rPr>
          <w:rFonts w:hint="eastAsia" w:eastAsia="方正仿宋_GBK"/>
          <w:color w:val="auto"/>
          <w:sz w:val="30"/>
          <w:szCs w:val="30"/>
          <w:highlight w:val="none"/>
        </w:rPr>
        <w:t xml:space="preserve">路径</w:t>
      </w:r>
      <w:r>
        <w:rPr>
          <w:rFonts w:eastAsia="方正仿宋_GBK"/>
          <w:color w:val="auto"/>
          <w:sz w:val="30"/>
          <w:szCs w:val="30"/>
          <w:highlight w:val="none"/>
        </w:rPr>
        <w:t xml:space="preserve">为：</w:t>
      </w:r>
      <w:r>
        <w:rPr>
          <w:rFonts w:hint="eastAsia" w:eastAsia="方正仿宋_GBK"/>
          <w:color w:val="auto"/>
          <w:sz w:val="30"/>
          <w:szCs w:val="30"/>
          <w:highlight w:val="none"/>
        </w:rPr>
        <w:t xml:space="preserve">登录“苏采云”系统-</w:t>
      </w:r>
      <w:r>
        <w:rPr>
          <w:rFonts w:eastAsia="方正仿宋_GBK"/>
          <w:color w:val="auto"/>
          <w:sz w:val="30"/>
          <w:szCs w:val="30"/>
          <w:highlight w:val="none"/>
        </w:rPr>
        <w:t xml:space="preserve">点击【采购项目参与】-【评审结果查询】-点击【查看】按钮，进入评审结果详情页面。供应商可以查看到资格符合评审是否通过、评审总得分、排名和是否中标/成交。</w:t>
      </w:r>
      <w:r/>
    </w:p>
    <w:p>
      <w:pPr>
        <w:rPr>
          <w:rFonts w:eastAsia="方正仿宋_GBK"/>
          <w:color w:val="auto"/>
          <w:sz w:val="28"/>
          <w:szCs w:val="28"/>
          <w:highlight w:val="none"/>
        </w:rPr>
        <w:sectPr>
          <w:footnotePr/>
          <w:endnotePr/>
          <w:type w:val="nextPage"/>
          <w:pgSz w:w="16838" w:h="11906" w:orient="landscape"/>
          <w:pgMar w:top="1080" w:right="1327" w:bottom="1080" w:left="1327" w:header="851" w:footer="992" w:gutter="0"/>
          <w:cols w:num="1" w:sep="0" w:space="720" w:equalWidth="1"/>
          <w:docGrid w:linePitch="360"/>
        </w:sectPr>
      </w:pPr>
      <w:r>
        <w:rPr>
          <w:rFonts w:eastAsia="方正仿宋_GBK"/>
          <w:color w:val="auto"/>
          <w:sz w:val="28"/>
          <w:szCs w:val="28"/>
          <w:highlight w:val="none"/>
        </w:rPr>
      </w:r>
      <w:r/>
    </w:p>
    <w:p>
      <w:pPr>
        <w:rPr>
          <w:rFonts w:eastAsia="方正仿宋_GBK"/>
          <w:color w:val="auto"/>
          <w:sz w:val="28"/>
          <w:szCs w:val="28"/>
          <w:highlight w:val="none"/>
        </w:rPr>
      </w:pPr>
      <w:r>
        <w:rPr>
          <w:rFonts w:eastAsia="方正仿宋_GBK"/>
          <w:color w:val="auto"/>
          <w:sz w:val="28"/>
          <w:szCs w:val="28"/>
          <w:highlight w:val="none"/>
        </w:rPr>
      </w:r>
      <w:r/>
    </w:p>
    <w:sectPr>
      <w:headerReference w:type="default" r:id="rId9"/>
      <w:footerReference w:type="default" r:id="rId13"/>
      <w:footerReference w:type="first" r:id="rId14"/>
      <w:footnotePr/>
      <w:endnotePr/>
      <w:type w:val="nextPage"/>
      <w:pgSz w:w="16838" w:h="11906" w:orient="landscape"/>
      <w:pgMar w:top="1365" w:right="1418" w:bottom="1588"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6"/>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89"/>
                            <w:tabs>
                              <w:tab w:val="clear" w:pos="4153" w:leader="none"/>
                              <w:tab w:val="clear" w:pos="8306" w:leader="none"/>
                            </w:tabs>
                            <w:rPr>
                              <w:rStyle w:val="1112"/>
                              <w:sz w:val="21"/>
                              <w:szCs w:val="21"/>
                            </w:rPr>
                          </w:pPr>
                          <w:r>
                            <w:rPr>
                              <w:sz w:val="21"/>
                              <w:szCs w:val="21"/>
                            </w:rPr>
                            <w:fldChar w:fldCharType="begin"/>
                          </w:r>
                          <w:r>
                            <w:rPr>
                              <w:rStyle w:val="1112"/>
                              <w:sz w:val="21"/>
                              <w:szCs w:val="21"/>
                            </w:rPr>
                            <w:instrText xml:space="preserve">PAGE  </w:instrText>
                          </w:r>
                          <w:r>
                            <w:rPr>
                              <w:sz w:val="21"/>
                              <w:szCs w:val="21"/>
                            </w:rPr>
                            <w:fldChar w:fldCharType="separate"/>
                          </w:r>
                          <w:r>
                            <w:rPr>
                              <w:rStyle w:val="1112"/>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89"/>
                      <w:tabs>
                        <w:tab w:val="clear" w:pos="4153" w:leader="none"/>
                        <w:tab w:val="clear" w:pos="8306" w:leader="none"/>
                      </w:tabs>
                      <w:rPr>
                        <w:rStyle w:val="1112"/>
                        <w:sz w:val="21"/>
                        <w:szCs w:val="21"/>
                      </w:rPr>
                    </w:pPr>
                    <w:r>
                      <w:rPr>
                        <w:sz w:val="21"/>
                        <w:szCs w:val="21"/>
                      </w:rPr>
                      <w:fldChar w:fldCharType="begin"/>
                    </w:r>
                    <w:r>
                      <w:rPr>
                        <w:rStyle w:val="1112"/>
                        <w:sz w:val="21"/>
                        <w:szCs w:val="21"/>
                      </w:rPr>
                      <w:instrText xml:space="preserve">PAGE  </w:instrText>
                    </w:r>
                    <w:r>
                      <w:rPr>
                        <w:sz w:val="21"/>
                        <w:szCs w:val="21"/>
                      </w:rPr>
                      <w:fldChar w:fldCharType="separate"/>
                    </w:r>
                    <w:r>
                      <w:rPr>
                        <w:rStyle w:val="1112"/>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1118"/>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57"/>
      <w:isLgl w:val="false"/>
      <w:suff w:val="nothing"/>
      <w:lvlText w:val=""/>
      <w:lvlJc w:val="left"/>
      <w:pPr>
        <w:ind w:left="0" w:firstLine="0"/>
      </w:pPr>
      <w:rPr>
        <w:rFonts w:hint="eastAsia"/>
      </w:rPr>
    </w:lvl>
    <w:lvl w:ilvl="6">
      <w:start w:val="1"/>
      <w:numFmt w:val="decimal"/>
      <w:pStyle w:val="1059"/>
      <w:isLgl w:val="false"/>
      <w:suff w:val="nothing"/>
      <w:lvlText w:val=""/>
      <w:lvlJc w:val="left"/>
      <w:pPr>
        <w:ind w:left="0" w:firstLine="0"/>
      </w:pPr>
      <w:rPr>
        <w:rFonts w:hint="eastAsia"/>
      </w:rPr>
    </w:lvl>
    <w:lvl w:ilvl="7">
      <w:start w:val="1"/>
      <w:numFmt w:val="decimal"/>
      <w:pStyle w:val="1061"/>
      <w:isLgl w:val="false"/>
      <w:suff w:val="nothing"/>
      <w:lvlText w:val=""/>
      <w:lvlJc w:val="left"/>
      <w:pPr>
        <w:ind w:left="0" w:firstLine="0"/>
      </w:pPr>
      <w:rPr>
        <w:rFonts w:hint="eastAsia"/>
      </w:rPr>
    </w:lvl>
    <w:lvl w:ilvl="8">
      <w:start w:val="1"/>
      <w:numFmt w:val="decimal"/>
      <w:pStyle w:val="1063"/>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5"/>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uiPriority w:val="0"/>
    <w:qFormat/>
    <w:pPr>
      <w:jc w:val="both"/>
      <w:spacing w:after="160" w:line="278" w:lineRule="auto"/>
      <w:widowControl w:val="off"/>
    </w:pPr>
    <w:rPr>
      <w:rFonts w:hint="default" w:ascii="Times New Roman" w:hAnsi="Times New Roman" w:eastAsia="宋体" w:cs="Times New Roman"/>
      <w:sz w:val="21"/>
      <w:szCs w:val="22"/>
      <w:lang w:val="en-US" w:eastAsia="zh-CN" w:bidi="ar-SA"/>
    </w:rPr>
  </w:style>
  <w:style w:type="paragraph" w:styleId="792">
    <w:name w:val="Heading 1"/>
    <w:basedOn w:val="791"/>
    <w:next w:val="791"/>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toc 7"/>
    <w:basedOn w:val="791"/>
    <w:next w:val="791"/>
    <w:uiPriority w:val="39"/>
    <w:unhideWhenUsed/>
    <w:qFormat/>
    <w:pPr>
      <w:ind w:left="1701"/>
      <w:spacing w:after="57"/>
    </w:pPr>
  </w:style>
  <w:style w:type="paragraph" w:styleId="804">
    <w:name w:val="Normal Indent"/>
    <w:basedOn w:val="791"/>
    <w:uiPriority w:val="0"/>
    <w:qFormat/>
    <w:pPr>
      <w:ind w:firstLine="420"/>
    </w:pPr>
    <w:rPr>
      <w:sz w:val="20"/>
      <w:szCs w:val="21"/>
    </w:rPr>
  </w:style>
  <w:style w:type="paragraph" w:styleId="805">
    <w:name w:val="Caption"/>
    <w:basedOn w:val="791"/>
    <w:next w:val="791"/>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toa heading"/>
    <w:basedOn w:val="791"/>
    <w:next w:val="791"/>
    <w:uiPriority w:val="0"/>
    <w:qFormat/>
    <w:pPr>
      <w:jc w:val="center"/>
      <w:spacing w:line="360" w:lineRule="atLeast"/>
    </w:pPr>
    <w:rPr>
      <w:rFonts w:ascii="Arial" w:hAnsi="Arial" w:eastAsia="黑体"/>
      <w:sz w:val="36"/>
      <w:szCs w:val="20"/>
    </w:rPr>
  </w:style>
  <w:style w:type="paragraph" w:styleId="807">
    <w:name w:val="Body Text"/>
    <w:basedOn w:val="791"/>
    <w:next w:val="791"/>
    <w:uiPriority w:val="0"/>
    <w:qFormat/>
    <w:rPr>
      <w:rFonts w:ascii="楷体_GB2312" w:hAnsi="Arial" w:eastAsia="楷体_GB2312"/>
      <w:sz w:val="28"/>
      <w:szCs w:val="28"/>
    </w:rPr>
  </w:style>
  <w:style w:type="paragraph" w:styleId="808">
    <w:name w:val="Body Text Indent"/>
    <w:basedOn w:val="791"/>
    <w:uiPriority w:val="99"/>
    <w:semiHidden/>
    <w:unhideWhenUsed/>
    <w:qFormat/>
    <w:pPr>
      <w:ind w:left="420"/>
      <w:spacing w:after="120"/>
    </w:pPr>
  </w:style>
  <w:style w:type="paragraph" w:styleId="809">
    <w:name w:val="Block Text"/>
    <w:basedOn w:val="791"/>
    <w:uiPriority w:val="0"/>
    <w:qFormat/>
    <w:pPr>
      <w:ind w:left="256" w:right="6" w:firstLine="624"/>
    </w:pPr>
    <w:rPr>
      <w:rFonts w:eastAsia="仿宋_GB2312"/>
      <w:sz w:val="28"/>
      <w:szCs w:val="20"/>
    </w:rPr>
  </w:style>
  <w:style w:type="paragraph" w:styleId="810">
    <w:name w:val="index 4"/>
    <w:basedOn w:val="791"/>
    <w:next w:val="791"/>
    <w:uiPriority w:val="99"/>
    <w:unhideWhenUsed/>
    <w:qFormat/>
    <w:pPr>
      <w:ind w:left="600"/>
    </w:pPr>
  </w:style>
  <w:style w:type="paragraph" w:styleId="811">
    <w:name w:val="toc 5"/>
    <w:basedOn w:val="791"/>
    <w:next w:val="791"/>
    <w:uiPriority w:val="39"/>
    <w:unhideWhenUsed/>
    <w:qFormat/>
    <w:pPr>
      <w:ind w:left="1134"/>
      <w:spacing w:after="57"/>
    </w:pPr>
  </w:style>
  <w:style w:type="paragraph" w:styleId="812">
    <w:name w:val="toc 3"/>
    <w:basedOn w:val="791"/>
    <w:next w:val="791"/>
    <w:uiPriority w:val="39"/>
    <w:unhideWhenUsed/>
    <w:qFormat/>
    <w:pPr>
      <w:ind w:left="567"/>
      <w:spacing w:after="57"/>
    </w:pPr>
  </w:style>
  <w:style w:type="paragraph" w:styleId="813">
    <w:name w:val="Plain Text"/>
    <w:basedOn w:val="791"/>
    <w:uiPriority w:val="99"/>
    <w:qFormat/>
    <w:rPr>
      <w:rFonts w:ascii="宋体" w:hAnsi="Courier New" w:cs="Courier New"/>
      <w:szCs w:val="21"/>
    </w:rPr>
  </w:style>
  <w:style w:type="paragraph" w:styleId="814">
    <w:name w:val="toc 8"/>
    <w:basedOn w:val="791"/>
    <w:next w:val="791"/>
    <w:uiPriority w:val="39"/>
    <w:unhideWhenUsed/>
    <w:qFormat/>
    <w:pPr>
      <w:ind w:left="1984"/>
      <w:spacing w:after="57"/>
    </w:pPr>
  </w:style>
  <w:style w:type="paragraph" w:styleId="815">
    <w:name w:val="endnote text"/>
    <w:basedOn w:val="791"/>
    <w:uiPriority w:val="99"/>
    <w:semiHidden/>
    <w:unhideWhenUsed/>
    <w:qFormat/>
    <w:pPr>
      <w:spacing w:after="0" w:line="240" w:lineRule="auto"/>
    </w:pPr>
    <w:rPr>
      <w:sz w:val="20"/>
    </w:rPr>
  </w:style>
  <w:style w:type="paragraph" w:styleId="816">
    <w:name w:val="Footer"/>
    <w:basedOn w:val="791"/>
    <w:uiPriority w:val="99"/>
    <w:unhideWhenUsed/>
    <w:qFormat/>
    <w:pPr>
      <w:spacing w:after="0" w:line="240" w:lineRule="auto"/>
      <w:tabs>
        <w:tab w:val="center" w:pos="7143" w:leader="none"/>
        <w:tab w:val="right" w:pos="14287" w:leader="none"/>
      </w:tabs>
    </w:pPr>
  </w:style>
  <w:style w:type="paragraph" w:styleId="817">
    <w:name w:val="Header"/>
    <w:basedOn w:val="791"/>
    <w:uiPriority w:val="99"/>
    <w:unhideWhenUsed/>
    <w:qFormat/>
    <w:pPr>
      <w:spacing w:after="0" w:line="240" w:lineRule="auto"/>
      <w:tabs>
        <w:tab w:val="center" w:pos="7143" w:leader="none"/>
        <w:tab w:val="right" w:pos="14287" w:leader="none"/>
      </w:tabs>
    </w:pPr>
  </w:style>
  <w:style w:type="paragraph" w:styleId="818">
    <w:name w:val="toc 1"/>
    <w:basedOn w:val="791"/>
    <w:next w:val="791"/>
    <w:uiPriority w:val="39"/>
    <w:unhideWhenUsed/>
    <w:qFormat/>
    <w:pPr>
      <w:spacing w:after="57"/>
    </w:pPr>
  </w:style>
  <w:style w:type="paragraph" w:styleId="819">
    <w:name w:val="toc 4"/>
    <w:basedOn w:val="791"/>
    <w:next w:val="791"/>
    <w:uiPriority w:val="39"/>
    <w:unhideWhenUsed/>
    <w:qFormat/>
    <w:pPr>
      <w:ind w:left="850"/>
      <w:spacing w:after="57"/>
    </w:pPr>
  </w:style>
  <w:style w:type="paragraph" w:styleId="820">
    <w:name w:val="Subtitle"/>
    <w:basedOn w:val="791"/>
    <w:next w:val="791"/>
    <w:uiPriority w:val="11"/>
    <w:qFormat/>
    <w:pPr>
      <w:spacing w:before="200" w:after="200"/>
    </w:pPr>
    <w:rPr>
      <w:sz w:val="24"/>
      <w:szCs w:val="24"/>
    </w:rPr>
  </w:style>
  <w:style w:type="paragraph" w:styleId="821">
    <w:name w:val="footnote text"/>
    <w:basedOn w:val="791"/>
    <w:uiPriority w:val="99"/>
    <w:semiHidden/>
    <w:unhideWhenUsed/>
    <w:qFormat/>
    <w:pPr>
      <w:spacing w:after="40" w:line="240" w:lineRule="auto"/>
    </w:pPr>
    <w:rPr>
      <w:sz w:val="18"/>
    </w:rPr>
  </w:style>
  <w:style w:type="paragraph" w:styleId="822">
    <w:name w:val="toc 6"/>
    <w:basedOn w:val="791"/>
    <w:next w:val="791"/>
    <w:uiPriority w:val="39"/>
    <w:unhideWhenUsed/>
    <w:qFormat/>
    <w:pPr>
      <w:ind w:left="1417"/>
      <w:spacing w:after="57"/>
    </w:pPr>
  </w:style>
  <w:style w:type="paragraph" w:styleId="823">
    <w:name w:val="Body Text Indent 3"/>
    <w:basedOn w:val="791"/>
    <w:next w:val="806"/>
    <w:uiPriority w:val="0"/>
    <w:qFormat/>
    <w:pPr>
      <w:ind w:firstLine="539"/>
      <w:spacing w:line="520" w:lineRule="exact"/>
    </w:pPr>
    <w:rPr>
      <w:rFonts w:ascii="宋体"/>
      <w:b/>
      <w:spacing w:val="6"/>
      <w:sz w:val="28"/>
    </w:rPr>
  </w:style>
  <w:style w:type="paragraph" w:styleId="824">
    <w:name w:val="table of figures"/>
    <w:basedOn w:val="791"/>
    <w:next w:val="791"/>
    <w:uiPriority w:val="99"/>
    <w:unhideWhenUsed/>
    <w:qFormat/>
    <w:pPr>
      <w:spacing w:after="0"/>
    </w:pPr>
  </w:style>
  <w:style w:type="paragraph" w:styleId="825">
    <w:name w:val="toc 2"/>
    <w:basedOn w:val="791"/>
    <w:next w:val="791"/>
    <w:uiPriority w:val="39"/>
    <w:unhideWhenUsed/>
    <w:qFormat/>
    <w:pPr>
      <w:ind w:left="283"/>
      <w:spacing w:after="57"/>
    </w:pPr>
  </w:style>
  <w:style w:type="paragraph" w:styleId="826">
    <w:name w:val="toc 9"/>
    <w:basedOn w:val="791"/>
    <w:next w:val="791"/>
    <w:uiPriority w:val="39"/>
    <w:unhideWhenUsed/>
    <w:qFormat/>
    <w:pPr>
      <w:ind w:left="2268"/>
      <w:spacing w:after="57"/>
    </w:pPr>
  </w:style>
  <w:style w:type="paragraph" w:styleId="827">
    <w:name w:val="Normal (Web)"/>
    <w:basedOn w:val="791"/>
    <w:uiPriority w:val="99"/>
    <w:qFormat/>
    <w:pPr>
      <w:jc w:val="left"/>
      <w:spacing w:before="100" w:beforeAutospacing="1" w:after="100" w:afterAutospacing="1"/>
      <w:widowControl/>
    </w:pPr>
    <w:rPr>
      <w:rFonts w:ascii="宋体" w:hAnsi="宋体" w:cs="宋体"/>
      <w:sz w:val="24"/>
      <w:szCs w:val="24"/>
    </w:rPr>
  </w:style>
  <w:style w:type="paragraph" w:styleId="828">
    <w:name w:val="Title"/>
    <w:basedOn w:val="791"/>
    <w:next w:val="791"/>
    <w:uiPriority w:val="10"/>
    <w:qFormat/>
    <w:pPr>
      <w:contextualSpacing/>
      <w:spacing w:before="300" w:after="200"/>
    </w:pPr>
    <w:rPr>
      <w:sz w:val="48"/>
      <w:szCs w:val="48"/>
    </w:rPr>
  </w:style>
  <w:style w:type="paragraph" w:styleId="829">
    <w:name w:val="Body Text First Indent"/>
    <w:basedOn w:val="807"/>
    <w:uiPriority w:val="0"/>
    <w:qFormat/>
    <w:pPr>
      <w:ind w:firstLine="200"/>
      <w:spacing w:line="360" w:lineRule="auto"/>
    </w:pPr>
    <w:rPr>
      <w:rFonts w:ascii="仿宋_GB2312" w:hAnsi="Times New Roman" w:eastAsia="仿宋_GB2312"/>
      <w:sz w:val="30"/>
      <w:szCs w:val="30"/>
    </w:rPr>
  </w:style>
  <w:style w:type="paragraph" w:styleId="830">
    <w:name w:val="Body Text First Indent 2"/>
    <w:basedOn w:val="808"/>
    <w:next w:val="823"/>
    <w:uiPriority w:val="99"/>
    <w:unhideWhenUsed/>
    <w:qFormat/>
    <w:pPr>
      <w:ind w:firstLine="200"/>
    </w:pPr>
  </w:style>
  <w:style w:type="table" w:styleId="83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14:textFill>
        <w14:solidFill>
          <w14:schemeClr w14:val="hlink"/>
        </w14:solidFill>
      </w14:textFill>
    </w:rPr>
  </w:style>
  <w:style w:type="character" w:styleId="834">
    <w:name w:val="footnote reference"/>
    <w:uiPriority w:val="99"/>
    <w:unhideWhenUsed/>
    <w:qFormat/>
    <w:rPr>
      <w:vertAlign w:val="superscript"/>
    </w:rPr>
  </w:style>
  <w:style w:type="table" w:styleId="835" w:customStyle="1">
    <w:name w:val="Plain Table 1"/>
    <w:basedOn w:val="8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8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8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8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3"/>
    <w:basedOn w:val="8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w:basedOn w:val="8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Grid Table 5 Dark"/>
    <w:basedOn w:val="8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6 Colorful"/>
    <w:basedOn w:val="8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7 Colorful"/>
    <w:basedOn w:val="8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1 Light"/>
    <w:basedOn w:val="8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2"/>
    <w:basedOn w:val="8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3"/>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w:basedOn w:val="8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5 Dark"/>
    <w:basedOn w:val="8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8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7 Colorful"/>
    <w:basedOn w:val="8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Heading"/>
    <w:uiPriority w:val="39"/>
    <w:unhideWhenUsed/>
    <w:qFormat/>
    <w:rPr>
      <w:rFonts w:hint="default" w:ascii="Times New Roman" w:hAnsi="Times New Roman" w:eastAsia="宋体" w:cs="Times New Roman"/>
    </w:rPr>
  </w:style>
  <w:style w:type="character" w:styleId="855" w:customStyle="1">
    <w:name w:val="Quote Char"/>
    <w:uiPriority w:val="29"/>
    <w:qFormat/>
    <w:rPr>
      <w:i/>
    </w:rPr>
  </w:style>
  <w:style w:type="character" w:styleId="856" w:customStyle="1">
    <w:name w:val="Intense Quote Char"/>
    <w:uiPriority w:val="30"/>
    <w:qFormat/>
    <w:rPr>
      <w:i/>
    </w:rPr>
  </w:style>
  <w:style w:type="table" w:styleId="857" w:customStyle="1">
    <w:name w:val="无格式表格 11"/>
    <w:basedOn w:val="802"/>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802"/>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802"/>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网格表 3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802"/>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网格表 5 深色1"/>
    <w:basedOn w:val="802"/>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网格表 6 彩色1"/>
    <w:basedOn w:val="80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网格表 7 彩色1"/>
    <w:basedOn w:val="80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清单表 1 浅色1"/>
    <w:basedOn w:val="80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清单表 2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清单表 31"/>
    <w:basedOn w:val="802"/>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清单表 41"/>
    <w:basedOn w:val="802"/>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清单表 5 深色1"/>
    <w:basedOn w:val="802"/>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802"/>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清单表 7 彩色1"/>
    <w:basedOn w:val="802"/>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6" w:customStyle="1">
    <w:name w:val="TOC 标题1"/>
    <w:uiPriority w:val="39"/>
    <w:unhideWhenUsed/>
    <w:qFormat/>
    <w:rPr>
      <w:rFonts w:hint="default" w:ascii="Times New Roman" w:hAnsi="Times New Roman" w:eastAsia="宋体" w:cs="Times New Roman"/>
      <w:lang w:val="en-US" w:eastAsia="zh-CN" w:bidi="ar-SA"/>
    </w:rPr>
  </w:style>
  <w:style w:type="paragraph" w:styleId="877" w:customStyle="1">
    <w:name w:val="标题 21"/>
    <w:basedOn w:val="791"/>
    <w:next w:val="791"/>
    <w:uiPriority w:val="9"/>
    <w:unhideWhenUsed/>
    <w:qFormat/>
    <w:pPr>
      <w:keepLines/>
      <w:keepNext/>
      <w:spacing w:before="360" w:after="200"/>
      <w:outlineLvl w:val="1"/>
    </w:pPr>
    <w:rPr>
      <w:rFonts w:ascii="Arial" w:hAnsi="Arial" w:eastAsia="Arial"/>
      <w:sz w:val="34"/>
      <w:szCs w:val="20"/>
      <w:lang w:eastAsia="en-US"/>
    </w:rPr>
  </w:style>
  <w:style w:type="paragraph" w:styleId="878" w:customStyle="1">
    <w:name w:val="正文文本1"/>
    <w:basedOn w:val="791"/>
    <w:next w:val="791"/>
    <w:uiPriority w:val="0"/>
    <w:qFormat/>
    <w:rPr>
      <w:rFonts w:ascii="楷体_GB2312" w:hAnsi="Arial" w:eastAsia="楷体_GB2312"/>
      <w:sz w:val="28"/>
      <w:szCs w:val="28"/>
      <w:lang w:eastAsia="en-US"/>
    </w:rPr>
  </w:style>
  <w:style w:type="paragraph" w:styleId="879" w:customStyle="1">
    <w:name w:val="标题 111"/>
    <w:basedOn w:val="791"/>
    <w:next w:val="791"/>
    <w:link w:val="890"/>
    <w:uiPriority w:val="9"/>
    <w:qFormat/>
    <w:pPr>
      <w:keepLines/>
      <w:keepNext/>
      <w:spacing w:before="480" w:after="200"/>
      <w:outlineLvl w:val="0"/>
    </w:pPr>
    <w:rPr>
      <w:rFonts w:ascii="Arial" w:hAnsi="Arial" w:eastAsia="Arial" w:cs="Arial"/>
      <w:sz w:val="40"/>
      <w:szCs w:val="40"/>
    </w:rPr>
  </w:style>
  <w:style w:type="paragraph" w:styleId="880" w:customStyle="1">
    <w:name w:val="标题 211"/>
    <w:basedOn w:val="791"/>
    <w:next w:val="791"/>
    <w:link w:val="891"/>
    <w:uiPriority w:val="9"/>
    <w:unhideWhenUsed/>
    <w:qFormat/>
    <w:pPr>
      <w:keepLines/>
      <w:keepNext/>
      <w:spacing w:before="360" w:after="200"/>
      <w:outlineLvl w:val="1"/>
    </w:pPr>
    <w:rPr>
      <w:rFonts w:ascii="Arial" w:hAnsi="Arial" w:eastAsia="Arial" w:cs="Arial"/>
      <w:sz w:val="34"/>
    </w:rPr>
  </w:style>
  <w:style w:type="paragraph" w:styleId="881" w:customStyle="1">
    <w:name w:val="标题 311"/>
    <w:basedOn w:val="791"/>
    <w:next w:val="791"/>
    <w:link w:val="892"/>
    <w:uiPriority w:val="9"/>
    <w:unhideWhenUsed/>
    <w:qFormat/>
    <w:pPr>
      <w:keepLines/>
      <w:keepNext/>
      <w:spacing w:before="320" w:after="200"/>
      <w:outlineLvl w:val="2"/>
    </w:pPr>
    <w:rPr>
      <w:rFonts w:ascii="Arial" w:hAnsi="Arial" w:eastAsia="Arial" w:cs="Arial"/>
      <w:sz w:val="30"/>
      <w:szCs w:val="30"/>
    </w:rPr>
  </w:style>
  <w:style w:type="paragraph" w:styleId="882" w:customStyle="1">
    <w:name w:val="标题 411"/>
    <w:basedOn w:val="791"/>
    <w:next w:val="791"/>
    <w:link w:val="893"/>
    <w:uiPriority w:val="9"/>
    <w:unhideWhenUsed/>
    <w:qFormat/>
    <w:pPr>
      <w:keepLines/>
      <w:keepNext/>
      <w:spacing w:before="320" w:after="200"/>
      <w:outlineLvl w:val="3"/>
    </w:pPr>
    <w:rPr>
      <w:rFonts w:ascii="Arial" w:hAnsi="Arial" w:eastAsia="Arial" w:cs="Arial"/>
      <w:b/>
      <w:bCs/>
      <w:sz w:val="26"/>
      <w:szCs w:val="26"/>
    </w:rPr>
  </w:style>
  <w:style w:type="paragraph" w:styleId="883" w:customStyle="1">
    <w:name w:val="标题 511"/>
    <w:basedOn w:val="791"/>
    <w:next w:val="791"/>
    <w:link w:val="894"/>
    <w:uiPriority w:val="9"/>
    <w:unhideWhenUsed/>
    <w:qFormat/>
    <w:pPr>
      <w:keepLines/>
      <w:keepNext/>
      <w:spacing w:before="320" w:after="200"/>
      <w:outlineLvl w:val="4"/>
    </w:pPr>
    <w:rPr>
      <w:rFonts w:ascii="Arial" w:hAnsi="Arial" w:eastAsia="Arial" w:cs="Arial"/>
      <w:b/>
      <w:bCs/>
      <w:sz w:val="24"/>
      <w:szCs w:val="24"/>
    </w:rPr>
  </w:style>
  <w:style w:type="paragraph" w:styleId="884" w:customStyle="1">
    <w:name w:val="标题 611"/>
    <w:basedOn w:val="791"/>
    <w:next w:val="791"/>
    <w:link w:val="895"/>
    <w:uiPriority w:val="9"/>
    <w:unhideWhenUsed/>
    <w:qFormat/>
    <w:pPr>
      <w:keepLines/>
      <w:keepNext/>
      <w:spacing w:before="320" w:after="200"/>
      <w:outlineLvl w:val="5"/>
    </w:pPr>
    <w:rPr>
      <w:rFonts w:ascii="Arial" w:hAnsi="Arial" w:eastAsia="Arial" w:cs="Arial"/>
      <w:b/>
      <w:bCs/>
      <w:sz w:val="22"/>
    </w:rPr>
  </w:style>
  <w:style w:type="paragraph" w:styleId="885" w:customStyle="1">
    <w:name w:val="标题 711"/>
    <w:basedOn w:val="791"/>
    <w:next w:val="791"/>
    <w:link w:val="896"/>
    <w:uiPriority w:val="9"/>
    <w:unhideWhenUsed/>
    <w:qFormat/>
    <w:pPr>
      <w:keepLines/>
      <w:keepNext/>
      <w:spacing w:before="320" w:after="200"/>
      <w:outlineLvl w:val="6"/>
    </w:pPr>
    <w:rPr>
      <w:rFonts w:ascii="Arial" w:hAnsi="Arial" w:eastAsia="Arial" w:cs="Arial"/>
      <w:b/>
      <w:bCs/>
      <w:i/>
      <w:iCs/>
      <w:sz w:val="22"/>
    </w:rPr>
  </w:style>
  <w:style w:type="paragraph" w:styleId="886" w:customStyle="1">
    <w:name w:val="标题 811"/>
    <w:basedOn w:val="791"/>
    <w:next w:val="791"/>
    <w:link w:val="897"/>
    <w:uiPriority w:val="9"/>
    <w:unhideWhenUsed/>
    <w:qFormat/>
    <w:pPr>
      <w:keepLines/>
      <w:keepNext/>
      <w:spacing w:before="320" w:after="200"/>
      <w:outlineLvl w:val="7"/>
    </w:pPr>
    <w:rPr>
      <w:rFonts w:ascii="Arial" w:hAnsi="Arial" w:eastAsia="Arial" w:cs="Arial"/>
      <w:i/>
      <w:iCs/>
      <w:sz w:val="22"/>
    </w:rPr>
  </w:style>
  <w:style w:type="paragraph" w:styleId="887" w:customStyle="1">
    <w:name w:val="标题 911"/>
    <w:basedOn w:val="791"/>
    <w:next w:val="791"/>
    <w:link w:val="898"/>
    <w:uiPriority w:val="9"/>
    <w:unhideWhenUsed/>
    <w:qFormat/>
    <w:pPr>
      <w:keepLines/>
      <w:keepNext/>
      <w:spacing w:before="320" w:after="200"/>
      <w:outlineLvl w:val="8"/>
    </w:pPr>
    <w:rPr>
      <w:rFonts w:ascii="Arial" w:hAnsi="Arial" w:eastAsia="Arial" w:cs="Arial"/>
      <w:i/>
      <w:iCs/>
      <w:szCs w:val="21"/>
    </w:rPr>
  </w:style>
  <w:style w:type="character" w:styleId="888" w:customStyle="1">
    <w:name w:val="默认段落字体11"/>
    <w:uiPriority w:val="1"/>
    <w:unhideWhenUsed/>
    <w:qFormat/>
  </w:style>
  <w:style w:type="table" w:styleId="889" w:customStyle="1">
    <w:name w:val="普通表格11"/>
    <w:uiPriority w:val="99"/>
    <w:unhideWhenUsed/>
    <w:qFormat/>
    <w:tblPr>
      <w:tblCellMar>
        <w:left w:w="0" w:type="dxa"/>
        <w:top w:w="0" w:type="dxa"/>
        <w:right w:w="0" w:type="dxa"/>
        <w:bottom w:w="0" w:type="dxa"/>
      </w:tblCellMar>
    </w:tblPr>
  </w:style>
  <w:style w:type="character" w:styleId="890" w:customStyle="1">
    <w:name w:val="Heading 1 Char"/>
    <w:link w:val="879"/>
    <w:uiPriority w:val="9"/>
    <w:qFormat/>
    <w:rPr>
      <w:rFonts w:ascii="Arial" w:hAnsi="Arial" w:eastAsia="Arial" w:cs="Arial"/>
      <w:sz w:val="40"/>
      <w:szCs w:val="40"/>
    </w:rPr>
  </w:style>
  <w:style w:type="character" w:styleId="891" w:customStyle="1">
    <w:name w:val="Heading 2 Char"/>
    <w:link w:val="880"/>
    <w:uiPriority w:val="9"/>
    <w:qFormat/>
    <w:rPr>
      <w:rFonts w:ascii="Arial" w:hAnsi="Arial" w:eastAsia="Arial" w:cs="Arial"/>
      <w:sz w:val="34"/>
    </w:rPr>
  </w:style>
  <w:style w:type="character" w:styleId="892" w:customStyle="1">
    <w:name w:val="Heading 3 Char"/>
    <w:link w:val="881"/>
    <w:uiPriority w:val="9"/>
    <w:qFormat/>
    <w:rPr>
      <w:rFonts w:ascii="Arial" w:hAnsi="Arial" w:eastAsia="Arial" w:cs="Arial"/>
      <w:sz w:val="30"/>
      <w:szCs w:val="30"/>
    </w:rPr>
  </w:style>
  <w:style w:type="character" w:styleId="893" w:customStyle="1">
    <w:name w:val="Heading 4 Char"/>
    <w:link w:val="882"/>
    <w:uiPriority w:val="9"/>
    <w:qFormat/>
    <w:rPr>
      <w:rFonts w:ascii="Arial" w:hAnsi="Arial" w:eastAsia="Arial" w:cs="Arial"/>
      <w:b/>
      <w:bCs/>
      <w:sz w:val="26"/>
      <w:szCs w:val="26"/>
    </w:rPr>
  </w:style>
  <w:style w:type="character" w:styleId="894" w:customStyle="1">
    <w:name w:val="Heading 5 Char"/>
    <w:link w:val="883"/>
    <w:uiPriority w:val="9"/>
    <w:qFormat/>
    <w:rPr>
      <w:rFonts w:ascii="Arial" w:hAnsi="Arial" w:eastAsia="Arial" w:cs="Arial"/>
      <w:b/>
      <w:bCs/>
      <w:sz w:val="24"/>
      <w:szCs w:val="24"/>
    </w:rPr>
  </w:style>
  <w:style w:type="character" w:styleId="895" w:customStyle="1">
    <w:name w:val="Heading 6 Char"/>
    <w:link w:val="884"/>
    <w:uiPriority w:val="9"/>
    <w:qFormat/>
    <w:rPr>
      <w:rFonts w:ascii="Arial" w:hAnsi="Arial" w:eastAsia="Arial" w:cs="Arial"/>
      <w:b/>
      <w:bCs/>
      <w:sz w:val="22"/>
      <w:szCs w:val="22"/>
    </w:rPr>
  </w:style>
  <w:style w:type="character" w:styleId="896" w:customStyle="1">
    <w:name w:val="Heading 7 Char"/>
    <w:link w:val="885"/>
    <w:uiPriority w:val="9"/>
    <w:qFormat/>
    <w:rPr>
      <w:rFonts w:ascii="Arial" w:hAnsi="Arial" w:eastAsia="Arial" w:cs="Arial"/>
      <w:b/>
      <w:bCs/>
      <w:i/>
      <w:iCs/>
      <w:sz w:val="22"/>
      <w:szCs w:val="22"/>
    </w:rPr>
  </w:style>
  <w:style w:type="character" w:styleId="897" w:customStyle="1">
    <w:name w:val="Heading 8 Char"/>
    <w:link w:val="886"/>
    <w:uiPriority w:val="9"/>
    <w:qFormat/>
    <w:rPr>
      <w:rFonts w:ascii="Arial" w:hAnsi="Arial" w:eastAsia="Arial" w:cs="Arial"/>
      <w:i/>
      <w:iCs/>
      <w:sz w:val="22"/>
      <w:szCs w:val="22"/>
    </w:rPr>
  </w:style>
  <w:style w:type="character" w:styleId="898" w:customStyle="1">
    <w:name w:val="Heading 9 Char"/>
    <w:link w:val="887"/>
    <w:uiPriority w:val="9"/>
    <w:qFormat/>
    <w:rPr>
      <w:rFonts w:ascii="Arial" w:hAnsi="Arial" w:eastAsia="Arial" w:cs="Arial"/>
      <w:i/>
      <w:iCs/>
      <w:sz w:val="21"/>
      <w:szCs w:val="21"/>
    </w:rPr>
  </w:style>
  <w:style w:type="paragraph" w:styleId="899" w:customStyle="1">
    <w:name w:val="目录 711"/>
    <w:basedOn w:val="791"/>
    <w:next w:val="791"/>
    <w:uiPriority w:val="39"/>
    <w:unhideWhenUsed/>
    <w:qFormat/>
    <w:pPr>
      <w:ind w:left="1701"/>
      <w:spacing w:after="57"/>
    </w:pPr>
  </w:style>
  <w:style w:type="paragraph" w:styleId="900" w:customStyle="1">
    <w:name w:val="题注1"/>
    <w:basedOn w:val="791"/>
    <w:next w:val="791"/>
    <w:uiPriority w:val="35"/>
    <w:unhideWhenUsed/>
    <w:qFormat/>
    <w:pPr>
      <w:spacing w:line="276" w:lineRule="auto"/>
    </w:pPr>
    <w:rPr>
      <w:b/>
      <w:bCs/>
      <w:color w:val="4f81bd"/>
      <w:sz w:val="18"/>
      <w:szCs w:val="18"/>
    </w:rPr>
  </w:style>
  <w:style w:type="paragraph" w:styleId="901" w:customStyle="1">
    <w:name w:val="目录 511"/>
    <w:basedOn w:val="791"/>
    <w:next w:val="791"/>
    <w:uiPriority w:val="39"/>
    <w:unhideWhenUsed/>
    <w:qFormat/>
    <w:pPr>
      <w:ind w:left="1134"/>
      <w:spacing w:after="57"/>
    </w:pPr>
  </w:style>
  <w:style w:type="paragraph" w:styleId="902" w:customStyle="1">
    <w:name w:val="目录 311"/>
    <w:basedOn w:val="791"/>
    <w:next w:val="791"/>
    <w:uiPriority w:val="39"/>
    <w:unhideWhenUsed/>
    <w:qFormat/>
    <w:pPr>
      <w:ind w:left="567"/>
      <w:spacing w:after="57"/>
    </w:pPr>
  </w:style>
  <w:style w:type="paragraph" w:styleId="903" w:customStyle="1">
    <w:name w:val="目录 811"/>
    <w:basedOn w:val="791"/>
    <w:next w:val="791"/>
    <w:uiPriority w:val="39"/>
    <w:unhideWhenUsed/>
    <w:qFormat/>
    <w:pPr>
      <w:ind w:left="1984"/>
      <w:spacing w:after="57"/>
    </w:pPr>
  </w:style>
  <w:style w:type="paragraph" w:styleId="904" w:customStyle="1">
    <w:name w:val="尾注文本1"/>
    <w:basedOn w:val="791"/>
    <w:link w:val="905"/>
    <w:uiPriority w:val="99"/>
    <w:unhideWhenUsed/>
    <w:qFormat/>
    <w:pPr>
      <w:spacing w:after="0" w:line="240" w:lineRule="auto"/>
    </w:pPr>
    <w:rPr>
      <w:sz w:val="20"/>
    </w:rPr>
  </w:style>
  <w:style w:type="character" w:styleId="905" w:customStyle="1">
    <w:name w:val="Endnote Text Char"/>
    <w:link w:val="904"/>
    <w:uiPriority w:val="99"/>
    <w:qFormat/>
    <w:rPr>
      <w:sz w:val="20"/>
    </w:rPr>
  </w:style>
  <w:style w:type="paragraph" w:styleId="906" w:customStyle="1">
    <w:name w:val="页脚11"/>
    <w:basedOn w:val="791"/>
    <w:link w:val="926"/>
    <w:uiPriority w:val="99"/>
    <w:unhideWhenUsed/>
    <w:qFormat/>
    <w:pPr>
      <w:spacing w:after="0" w:line="240" w:lineRule="auto"/>
      <w:tabs>
        <w:tab w:val="center" w:pos="7143" w:leader="none"/>
        <w:tab w:val="right" w:pos="14287" w:leader="none"/>
      </w:tabs>
    </w:pPr>
  </w:style>
  <w:style w:type="character" w:styleId="907" w:customStyle="1">
    <w:name w:val="Caption Char"/>
    <w:uiPriority w:val="99"/>
    <w:qFormat/>
  </w:style>
  <w:style w:type="paragraph" w:styleId="908" w:customStyle="1">
    <w:name w:val="页眉11"/>
    <w:basedOn w:val="791"/>
    <w:link w:val="909"/>
    <w:uiPriority w:val="99"/>
    <w:unhideWhenUsed/>
    <w:qFormat/>
    <w:pPr>
      <w:spacing w:after="0" w:line="240" w:lineRule="auto"/>
      <w:tabs>
        <w:tab w:val="center" w:pos="7143" w:leader="none"/>
        <w:tab w:val="right" w:pos="14287" w:leader="none"/>
      </w:tabs>
    </w:pPr>
  </w:style>
  <w:style w:type="character" w:styleId="909" w:customStyle="1">
    <w:name w:val="Header Char"/>
    <w:link w:val="908"/>
    <w:uiPriority w:val="99"/>
    <w:qFormat/>
  </w:style>
  <w:style w:type="paragraph" w:styleId="910" w:customStyle="1">
    <w:name w:val="目录 111"/>
    <w:basedOn w:val="791"/>
    <w:next w:val="791"/>
    <w:uiPriority w:val="39"/>
    <w:unhideWhenUsed/>
    <w:qFormat/>
    <w:pPr>
      <w:spacing w:after="57"/>
    </w:pPr>
  </w:style>
  <w:style w:type="paragraph" w:styleId="911" w:customStyle="1">
    <w:name w:val="目录 411"/>
    <w:basedOn w:val="791"/>
    <w:next w:val="791"/>
    <w:uiPriority w:val="39"/>
    <w:unhideWhenUsed/>
    <w:qFormat/>
    <w:pPr>
      <w:ind w:left="850"/>
      <w:spacing w:after="57"/>
    </w:pPr>
  </w:style>
  <w:style w:type="paragraph" w:styleId="912" w:customStyle="1">
    <w:name w:val="副标题1"/>
    <w:basedOn w:val="791"/>
    <w:next w:val="791"/>
    <w:link w:val="913"/>
    <w:uiPriority w:val="11"/>
    <w:qFormat/>
    <w:pPr>
      <w:spacing w:before="200" w:after="200"/>
    </w:pPr>
    <w:rPr>
      <w:sz w:val="24"/>
      <w:szCs w:val="24"/>
    </w:rPr>
  </w:style>
  <w:style w:type="character" w:styleId="913" w:customStyle="1">
    <w:name w:val="Subtitle Char"/>
    <w:link w:val="912"/>
    <w:uiPriority w:val="11"/>
    <w:qFormat/>
    <w:rPr>
      <w:sz w:val="24"/>
      <w:szCs w:val="24"/>
    </w:rPr>
  </w:style>
  <w:style w:type="paragraph" w:styleId="914" w:customStyle="1">
    <w:name w:val="脚注文本1"/>
    <w:basedOn w:val="791"/>
    <w:link w:val="915"/>
    <w:uiPriority w:val="99"/>
    <w:unhideWhenUsed/>
    <w:qFormat/>
    <w:pPr>
      <w:spacing w:after="40" w:line="240" w:lineRule="auto"/>
    </w:pPr>
    <w:rPr>
      <w:sz w:val="18"/>
    </w:rPr>
  </w:style>
  <w:style w:type="character" w:styleId="915" w:customStyle="1">
    <w:name w:val="Footnote Text Char"/>
    <w:link w:val="914"/>
    <w:uiPriority w:val="99"/>
    <w:qFormat/>
    <w:rPr>
      <w:sz w:val="18"/>
    </w:rPr>
  </w:style>
  <w:style w:type="paragraph" w:styleId="916" w:customStyle="1">
    <w:name w:val="目录 611"/>
    <w:basedOn w:val="791"/>
    <w:next w:val="791"/>
    <w:uiPriority w:val="39"/>
    <w:unhideWhenUsed/>
    <w:qFormat/>
    <w:pPr>
      <w:ind w:left="1417"/>
      <w:spacing w:after="57"/>
    </w:pPr>
  </w:style>
  <w:style w:type="paragraph" w:styleId="917" w:customStyle="1">
    <w:name w:val="图表目录11"/>
    <w:basedOn w:val="791"/>
    <w:next w:val="791"/>
    <w:uiPriority w:val="99"/>
    <w:unhideWhenUsed/>
    <w:qFormat/>
    <w:pPr>
      <w:spacing w:after="0"/>
    </w:pPr>
  </w:style>
  <w:style w:type="paragraph" w:styleId="918" w:customStyle="1">
    <w:name w:val="目录 211"/>
    <w:basedOn w:val="791"/>
    <w:next w:val="791"/>
    <w:uiPriority w:val="39"/>
    <w:unhideWhenUsed/>
    <w:qFormat/>
    <w:pPr>
      <w:ind w:left="283"/>
      <w:spacing w:after="57"/>
    </w:pPr>
  </w:style>
  <w:style w:type="paragraph" w:styleId="919" w:customStyle="1">
    <w:name w:val="目录 911"/>
    <w:basedOn w:val="791"/>
    <w:next w:val="791"/>
    <w:uiPriority w:val="39"/>
    <w:unhideWhenUsed/>
    <w:qFormat/>
    <w:pPr>
      <w:ind w:left="2268"/>
      <w:spacing w:after="57"/>
    </w:pPr>
  </w:style>
  <w:style w:type="paragraph" w:styleId="920" w:customStyle="1">
    <w:name w:val="标题11"/>
    <w:basedOn w:val="791"/>
    <w:next w:val="791"/>
    <w:link w:val="921"/>
    <w:uiPriority w:val="10"/>
    <w:qFormat/>
    <w:pPr>
      <w:contextualSpacing/>
      <w:spacing w:before="300" w:after="200"/>
    </w:pPr>
    <w:rPr>
      <w:sz w:val="48"/>
      <w:szCs w:val="48"/>
    </w:rPr>
  </w:style>
  <w:style w:type="character" w:styleId="921" w:customStyle="1">
    <w:name w:val="Title Char"/>
    <w:link w:val="920"/>
    <w:uiPriority w:val="10"/>
    <w:qFormat/>
    <w:rPr>
      <w:sz w:val="48"/>
      <w:szCs w:val="48"/>
    </w:rPr>
  </w:style>
  <w:style w:type="table" w:styleId="922" w:customStyle="1">
    <w:name w:val="网格型11"/>
    <w:uiPriority w:val="59"/>
    <w:qFormat/>
    <w:tblPr>
      <w:tblCellMar>
        <w:left w:w="0" w:type="dxa"/>
        <w:top w:w="0" w:type="dxa"/>
        <w:right w:w="0" w:type="dxa"/>
        <w:bottom w:w="0" w:type="dxa"/>
      </w:tblCellMar>
    </w:tblPr>
  </w:style>
  <w:style w:type="character" w:styleId="923" w:customStyle="1">
    <w:name w:val="尾注引用1"/>
    <w:uiPriority w:val="99"/>
    <w:unhideWhenUsed/>
    <w:qFormat/>
    <w:rPr>
      <w:vertAlign w:val="superscript"/>
    </w:rPr>
  </w:style>
  <w:style w:type="character" w:styleId="924" w:customStyle="1">
    <w:name w:val="超链接111"/>
    <w:uiPriority w:val="99"/>
    <w:unhideWhenUsed/>
    <w:qFormat/>
    <w:rPr>
      <w:color w:val="0000ff"/>
      <w:u w:val="single"/>
    </w:rPr>
  </w:style>
  <w:style w:type="character" w:styleId="925" w:customStyle="1">
    <w:name w:val="脚注引用1"/>
    <w:uiPriority w:val="99"/>
    <w:unhideWhenUsed/>
    <w:qFormat/>
    <w:rPr>
      <w:vertAlign w:val="superscript"/>
    </w:rPr>
  </w:style>
  <w:style w:type="character" w:styleId="926" w:customStyle="1">
    <w:name w:val="Footer Char"/>
    <w:link w:val="906"/>
    <w:uiPriority w:val="99"/>
    <w:qFormat/>
  </w:style>
  <w:style w:type="paragraph" w:styleId="927" w:customStyle="1">
    <w:name w:val="正文首行缩进11"/>
    <w:basedOn w:val="928"/>
    <w:link w:val="930"/>
    <w:uiPriority w:val="0"/>
    <w:qFormat/>
    <w:pPr>
      <w:ind w:firstLine="200"/>
      <w:spacing w:line="360" w:lineRule="auto"/>
    </w:pPr>
    <w:rPr>
      <w:rFonts w:ascii="仿宋_GB2312" w:hAnsi="Times New Roman" w:eastAsia="仿宋_GB2312"/>
      <w:sz w:val="30"/>
      <w:szCs w:val="30"/>
    </w:rPr>
  </w:style>
  <w:style w:type="paragraph" w:styleId="928" w:customStyle="1">
    <w:name w:val="正文文本11"/>
    <w:basedOn w:val="791"/>
    <w:next w:val="791"/>
    <w:link w:val="929"/>
    <w:uiPriority w:val="0"/>
    <w:qFormat/>
    <w:rPr>
      <w:rFonts w:ascii="楷体_GB2312" w:hAnsi="Arial" w:eastAsia="楷体_GB2312"/>
      <w:sz w:val="28"/>
      <w:szCs w:val="28"/>
      <w:lang w:eastAsia="en-US"/>
    </w:rPr>
  </w:style>
  <w:style w:type="character" w:styleId="929" w:customStyle="1">
    <w:name w:val="正文文本 Char"/>
    <w:link w:val="928"/>
    <w:uiPriority w:val="0"/>
    <w:qFormat/>
    <w:rPr>
      <w:rFonts w:ascii="楷体_GB2312" w:hAnsi="Arial" w:eastAsia="楷体_GB2312" w:cs="Times New Roman"/>
      <w:sz w:val="28"/>
      <w:szCs w:val="28"/>
    </w:rPr>
  </w:style>
  <w:style w:type="character" w:styleId="930" w:customStyle="1">
    <w:name w:val="正文首行缩进 Char"/>
    <w:link w:val="927"/>
    <w:uiPriority w:val="0"/>
    <w:qFormat/>
    <w:rPr>
      <w:rFonts w:ascii="仿宋_GB2312" w:hAnsi="Times New Roman" w:eastAsia="仿宋_GB2312" w:cs="Times New Roman"/>
      <w:sz w:val="30"/>
      <w:szCs w:val="30"/>
    </w:rPr>
  </w:style>
  <w:style w:type="character" w:styleId="931" w:customStyle="1">
    <w:name w:val="超链接1"/>
    <w:uiPriority w:val="0"/>
    <w:qFormat/>
    <w:rPr>
      <w:rFonts w:ascii="Times New Roman" w:hAnsi="Times New Roman" w:eastAsia="宋体" w:cs="Times New Roman"/>
      <w:sz w:val="21"/>
      <w:szCs w:val="24"/>
      <w:lang w:val="en-US" w:eastAsia="zh-CN" w:bidi="ar-SA"/>
    </w:rPr>
  </w:style>
  <w:style w:type="paragraph" w:styleId="932">
    <w:name w:val="List Paragraph"/>
    <w:basedOn w:val="791"/>
    <w:uiPriority w:val="34"/>
    <w:qFormat/>
    <w:pPr>
      <w:contextualSpacing/>
      <w:ind w:left="720"/>
    </w:pPr>
  </w:style>
  <w:style w:type="paragraph" w:styleId="933">
    <w:name w:val="No Spacing"/>
    <w:uiPriority w:val="1"/>
    <w:qFormat/>
    <w:rPr>
      <w:rFonts w:hint="default" w:ascii="Times New Roman" w:hAnsi="Times New Roman" w:eastAsia="宋体" w:cs="Times New Roman"/>
      <w:lang w:val="en-US" w:eastAsia="zh-CN" w:bidi="ar-SA"/>
    </w:rPr>
  </w:style>
  <w:style w:type="paragraph" w:styleId="934">
    <w:name w:val="Quote"/>
    <w:basedOn w:val="791"/>
    <w:next w:val="791"/>
    <w:link w:val="935"/>
    <w:uiPriority w:val="29"/>
    <w:qFormat/>
    <w:pPr>
      <w:ind w:left="720" w:right="720"/>
    </w:pPr>
    <w:rPr>
      <w:i/>
    </w:rPr>
  </w:style>
  <w:style w:type="character" w:styleId="935" w:customStyle="1">
    <w:name w:val="引用 字符"/>
    <w:link w:val="934"/>
    <w:uiPriority w:val="29"/>
    <w:qFormat/>
    <w:rPr>
      <w:i/>
    </w:rPr>
  </w:style>
  <w:style w:type="paragraph" w:styleId="936">
    <w:name w:val="Intense Quote"/>
    <w:basedOn w:val="791"/>
    <w:next w:val="791"/>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uiPriority w:val="30"/>
    <w:qFormat/>
    <w:rPr>
      <w:i/>
    </w:rPr>
  </w:style>
  <w:style w:type="table" w:styleId="938" w:customStyle="1">
    <w:name w:val="Table Grid Light"/>
    <w:uiPriority w:val="59"/>
    <w:qFormat/>
    <w:tblPr>
      <w:tblCellMar>
        <w:left w:w="0" w:type="dxa"/>
        <w:top w:w="0" w:type="dxa"/>
        <w:right w:w="0" w:type="dxa"/>
        <w:bottom w:w="0" w:type="dxa"/>
      </w:tblCellMar>
    </w:tblPr>
  </w:style>
  <w:style w:type="table" w:styleId="939" w:customStyle="1">
    <w:name w:val="Grid Table 1 Light - Accent 1"/>
    <w:uiPriority w:val="99"/>
    <w:qFormat/>
    <w:tblPr>
      <w:tblCellMar>
        <w:left w:w="0" w:type="dxa"/>
        <w:top w:w="0" w:type="dxa"/>
        <w:right w:w="0" w:type="dxa"/>
        <w:bottom w:w="0" w:type="dxa"/>
      </w:tblCellMar>
    </w:tblPr>
  </w:style>
  <w:style w:type="table" w:styleId="940" w:customStyle="1">
    <w:name w:val="Grid Table 1 Light - Accent 2"/>
    <w:uiPriority w:val="99"/>
    <w:qFormat/>
    <w:tblPr>
      <w:tblCellMar>
        <w:left w:w="0" w:type="dxa"/>
        <w:top w:w="0" w:type="dxa"/>
        <w:right w:w="0" w:type="dxa"/>
        <w:bottom w:w="0" w:type="dxa"/>
      </w:tblCellMar>
    </w:tblPr>
  </w:style>
  <w:style w:type="table" w:styleId="941" w:customStyle="1">
    <w:name w:val="Grid Table 1 Light - Accent 3"/>
    <w:uiPriority w:val="99"/>
    <w:qFormat/>
    <w:tblPr>
      <w:tblCellMar>
        <w:left w:w="0" w:type="dxa"/>
        <w:top w:w="0" w:type="dxa"/>
        <w:right w:w="0" w:type="dxa"/>
        <w:bottom w:w="0" w:type="dxa"/>
      </w:tblCellMar>
    </w:tblPr>
  </w:style>
  <w:style w:type="table" w:styleId="942" w:customStyle="1">
    <w:name w:val="Grid Table 1 Light - Accent 4"/>
    <w:uiPriority w:val="99"/>
    <w:qFormat/>
    <w:tblPr>
      <w:tblCellMar>
        <w:left w:w="0" w:type="dxa"/>
        <w:top w:w="0" w:type="dxa"/>
        <w:right w:w="0" w:type="dxa"/>
        <w:bottom w:w="0" w:type="dxa"/>
      </w:tblCellMar>
    </w:tblPr>
  </w:style>
  <w:style w:type="table" w:styleId="943" w:customStyle="1">
    <w:name w:val="Grid Table 1 Light - Accent 5"/>
    <w:uiPriority w:val="99"/>
    <w:qFormat/>
    <w:tblPr>
      <w:tblCellMar>
        <w:left w:w="0" w:type="dxa"/>
        <w:top w:w="0" w:type="dxa"/>
        <w:right w:w="0" w:type="dxa"/>
        <w:bottom w:w="0" w:type="dxa"/>
      </w:tblCellMar>
    </w:tblPr>
  </w:style>
  <w:style w:type="table" w:styleId="944" w:customStyle="1">
    <w:name w:val="Grid Table 1 Light - Accent 6"/>
    <w:uiPriority w:val="99"/>
    <w:qFormat/>
    <w:tblPr>
      <w:tblCellMar>
        <w:left w:w="0" w:type="dxa"/>
        <w:top w:w="0" w:type="dxa"/>
        <w:right w:w="0" w:type="dxa"/>
        <w:bottom w:w="0" w:type="dxa"/>
      </w:tblCellMar>
    </w:tblPr>
  </w:style>
  <w:style w:type="table" w:styleId="945" w:customStyle="1">
    <w:name w:val="Grid Table 2 - Accent 1"/>
    <w:uiPriority w:val="99"/>
    <w:qFormat/>
    <w:tblPr>
      <w:tblCellMar>
        <w:left w:w="0" w:type="dxa"/>
        <w:top w:w="0" w:type="dxa"/>
        <w:right w:w="0" w:type="dxa"/>
        <w:bottom w:w="0" w:type="dxa"/>
      </w:tblCellMar>
    </w:tblPr>
  </w:style>
  <w:style w:type="table" w:styleId="946" w:customStyle="1">
    <w:name w:val="Grid Table 2 - Accent 2"/>
    <w:uiPriority w:val="99"/>
    <w:qFormat/>
    <w:tblPr>
      <w:tblCellMar>
        <w:left w:w="0" w:type="dxa"/>
        <w:top w:w="0" w:type="dxa"/>
        <w:right w:w="0" w:type="dxa"/>
        <w:bottom w:w="0" w:type="dxa"/>
      </w:tblCellMar>
    </w:tblPr>
  </w:style>
  <w:style w:type="table" w:styleId="947" w:customStyle="1">
    <w:name w:val="Grid Table 2 - Accent 3"/>
    <w:uiPriority w:val="99"/>
    <w:qFormat/>
    <w:tblPr>
      <w:tblCellMar>
        <w:left w:w="0" w:type="dxa"/>
        <w:top w:w="0" w:type="dxa"/>
        <w:right w:w="0" w:type="dxa"/>
        <w:bottom w:w="0" w:type="dxa"/>
      </w:tblCellMar>
    </w:tblPr>
  </w:style>
  <w:style w:type="table" w:styleId="948" w:customStyle="1">
    <w:name w:val="Grid Table 2 - Accent 4"/>
    <w:uiPriority w:val="99"/>
    <w:qFormat/>
    <w:tblPr>
      <w:tblCellMar>
        <w:left w:w="0" w:type="dxa"/>
        <w:top w:w="0" w:type="dxa"/>
        <w:right w:w="0" w:type="dxa"/>
        <w:bottom w:w="0" w:type="dxa"/>
      </w:tblCellMar>
    </w:tblPr>
  </w:style>
  <w:style w:type="table" w:styleId="949" w:customStyle="1">
    <w:name w:val="Grid Table 2 - Accent 5"/>
    <w:uiPriority w:val="99"/>
    <w:qFormat/>
    <w:tblPr>
      <w:tblCellMar>
        <w:left w:w="0" w:type="dxa"/>
        <w:top w:w="0" w:type="dxa"/>
        <w:right w:w="0" w:type="dxa"/>
        <w:bottom w:w="0" w:type="dxa"/>
      </w:tblCellMar>
    </w:tblPr>
  </w:style>
  <w:style w:type="table" w:styleId="950" w:customStyle="1">
    <w:name w:val="Grid Table 2 - Accent 6"/>
    <w:uiPriority w:val="99"/>
    <w:qFormat/>
    <w:tblPr>
      <w:tblCellMar>
        <w:left w:w="0" w:type="dxa"/>
        <w:top w:w="0" w:type="dxa"/>
        <w:right w:w="0" w:type="dxa"/>
        <w:bottom w:w="0" w:type="dxa"/>
      </w:tblCellMar>
    </w:tblPr>
  </w:style>
  <w:style w:type="table" w:styleId="951" w:customStyle="1">
    <w:name w:val="Grid Table 3 - Accent 1"/>
    <w:uiPriority w:val="99"/>
    <w:qFormat/>
    <w:tblPr>
      <w:tblCellMar>
        <w:left w:w="0" w:type="dxa"/>
        <w:top w:w="0" w:type="dxa"/>
        <w:right w:w="0" w:type="dxa"/>
        <w:bottom w:w="0" w:type="dxa"/>
      </w:tblCellMar>
    </w:tblPr>
  </w:style>
  <w:style w:type="table" w:styleId="952" w:customStyle="1">
    <w:name w:val="Grid Table 3 - Accent 2"/>
    <w:uiPriority w:val="99"/>
    <w:qFormat/>
    <w:tblPr>
      <w:tblCellMar>
        <w:left w:w="0" w:type="dxa"/>
        <w:top w:w="0" w:type="dxa"/>
        <w:right w:w="0" w:type="dxa"/>
        <w:bottom w:w="0" w:type="dxa"/>
      </w:tblCellMar>
    </w:tblPr>
  </w:style>
  <w:style w:type="table" w:styleId="953" w:customStyle="1">
    <w:name w:val="Grid Table 3 - Accent 3"/>
    <w:uiPriority w:val="99"/>
    <w:qFormat/>
    <w:tblPr>
      <w:tblCellMar>
        <w:left w:w="0" w:type="dxa"/>
        <w:top w:w="0" w:type="dxa"/>
        <w:right w:w="0" w:type="dxa"/>
        <w:bottom w:w="0" w:type="dxa"/>
      </w:tblCellMar>
    </w:tblPr>
  </w:style>
  <w:style w:type="table" w:styleId="954" w:customStyle="1">
    <w:name w:val="Grid Table 3 - Accent 4"/>
    <w:uiPriority w:val="99"/>
    <w:qFormat/>
    <w:tblPr>
      <w:tblCellMar>
        <w:left w:w="0" w:type="dxa"/>
        <w:top w:w="0" w:type="dxa"/>
        <w:right w:w="0" w:type="dxa"/>
        <w:bottom w:w="0" w:type="dxa"/>
      </w:tblCellMar>
    </w:tblPr>
  </w:style>
  <w:style w:type="table" w:styleId="955" w:customStyle="1">
    <w:name w:val="Grid Table 3 - Accent 5"/>
    <w:uiPriority w:val="99"/>
    <w:qFormat/>
    <w:tblPr>
      <w:tblCellMar>
        <w:left w:w="0" w:type="dxa"/>
        <w:top w:w="0" w:type="dxa"/>
        <w:right w:w="0" w:type="dxa"/>
        <w:bottom w:w="0" w:type="dxa"/>
      </w:tblCellMar>
    </w:tblPr>
  </w:style>
  <w:style w:type="table" w:styleId="956" w:customStyle="1">
    <w:name w:val="Grid Table 3 - Accent 6"/>
    <w:uiPriority w:val="99"/>
    <w:qFormat/>
    <w:tblPr>
      <w:tblCellMar>
        <w:left w:w="0" w:type="dxa"/>
        <w:top w:w="0" w:type="dxa"/>
        <w:right w:w="0" w:type="dxa"/>
        <w:bottom w:w="0" w:type="dxa"/>
      </w:tblCellMar>
    </w:tblPr>
  </w:style>
  <w:style w:type="table" w:styleId="957" w:customStyle="1">
    <w:name w:val="Grid Table 4 - Accent 1"/>
    <w:uiPriority w:val="59"/>
    <w:qFormat/>
    <w:tblPr>
      <w:tblCellMar>
        <w:left w:w="0" w:type="dxa"/>
        <w:top w:w="0" w:type="dxa"/>
        <w:right w:w="0" w:type="dxa"/>
        <w:bottom w:w="0" w:type="dxa"/>
      </w:tblCellMar>
    </w:tblPr>
  </w:style>
  <w:style w:type="table" w:styleId="958" w:customStyle="1">
    <w:name w:val="Grid Table 4 - Accent 2"/>
    <w:uiPriority w:val="59"/>
    <w:qFormat/>
    <w:tblPr>
      <w:tblCellMar>
        <w:left w:w="0" w:type="dxa"/>
        <w:top w:w="0" w:type="dxa"/>
        <w:right w:w="0" w:type="dxa"/>
        <w:bottom w:w="0" w:type="dxa"/>
      </w:tblCellMar>
    </w:tblPr>
  </w:style>
  <w:style w:type="table" w:styleId="959" w:customStyle="1">
    <w:name w:val="Grid Table 4 - Accent 3"/>
    <w:uiPriority w:val="59"/>
    <w:qFormat/>
    <w:tblPr>
      <w:tblCellMar>
        <w:left w:w="0" w:type="dxa"/>
        <w:top w:w="0" w:type="dxa"/>
        <w:right w:w="0" w:type="dxa"/>
        <w:bottom w:w="0" w:type="dxa"/>
      </w:tblCellMar>
    </w:tblPr>
  </w:style>
  <w:style w:type="table" w:styleId="960" w:customStyle="1">
    <w:name w:val="Grid Table 4 - Accent 4"/>
    <w:uiPriority w:val="59"/>
    <w:qFormat/>
    <w:tblPr>
      <w:tblCellMar>
        <w:left w:w="0" w:type="dxa"/>
        <w:top w:w="0" w:type="dxa"/>
        <w:right w:w="0" w:type="dxa"/>
        <w:bottom w:w="0" w:type="dxa"/>
      </w:tblCellMar>
    </w:tblPr>
  </w:style>
  <w:style w:type="table" w:styleId="961" w:customStyle="1">
    <w:name w:val="Grid Table 4 - Accent 5"/>
    <w:uiPriority w:val="59"/>
    <w:qFormat/>
    <w:tblPr>
      <w:tblCellMar>
        <w:left w:w="0" w:type="dxa"/>
        <w:top w:w="0" w:type="dxa"/>
        <w:right w:w="0" w:type="dxa"/>
        <w:bottom w:w="0" w:type="dxa"/>
      </w:tblCellMar>
    </w:tblPr>
  </w:style>
  <w:style w:type="table" w:styleId="962" w:customStyle="1">
    <w:name w:val="Grid Table 4 - Accent 6"/>
    <w:uiPriority w:val="59"/>
    <w:qFormat/>
    <w:tblPr>
      <w:tblCellMar>
        <w:left w:w="0" w:type="dxa"/>
        <w:top w:w="0" w:type="dxa"/>
        <w:right w:w="0" w:type="dxa"/>
        <w:bottom w:w="0" w:type="dxa"/>
      </w:tblCellMar>
    </w:tblPr>
  </w:style>
  <w:style w:type="table" w:styleId="963" w:customStyle="1">
    <w:name w:val="Grid Table 5 Dark- Accent 1"/>
    <w:uiPriority w:val="99"/>
    <w:qFormat/>
    <w:tblPr>
      <w:tblCellMar>
        <w:left w:w="0" w:type="dxa"/>
        <w:top w:w="0" w:type="dxa"/>
        <w:right w:w="0" w:type="dxa"/>
        <w:bottom w:w="0" w:type="dxa"/>
      </w:tblCellMar>
    </w:tblPr>
  </w:style>
  <w:style w:type="table" w:styleId="964" w:customStyle="1">
    <w:name w:val="Grid Table 5 Dark - Accent 2"/>
    <w:uiPriority w:val="99"/>
    <w:qFormat/>
    <w:tblPr>
      <w:tblCellMar>
        <w:left w:w="0" w:type="dxa"/>
        <w:top w:w="0" w:type="dxa"/>
        <w:right w:w="0" w:type="dxa"/>
        <w:bottom w:w="0" w:type="dxa"/>
      </w:tblCellMar>
    </w:tblPr>
  </w:style>
  <w:style w:type="table" w:styleId="965" w:customStyle="1">
    <w:name w:val="Grid Table 5 Dark - Accent 3"/>
    <w:uiPriority w:val="99"/>
    <w:qFormat/>
    <w:tblPr>
      <w:tblCellMar>
        <w:left w:w="0" w:type="dxa"/>
        <w:top w:w="0" w:type="dxa"/>
        <w:right w:w="0" w:type="dxa"/>
        <w:bottom w:w="0" w:type="dxa"/>
      </w:tblCellMar>
    </w:tblPr>
  </w:style>
  <w:style w:type="table" w:styleId="966" w:customStyle="1">
    <w:name w:val="Grid Table 5 Dark- Accent 4"/>
    <w:uiPriority w:val="99"/>
    <w:qFormat/>
    <w:tblPr>
      <w:tblCellMar>
        <w:left w:w="0" w:type="dxa"/>
        <w:top w:w="0" w:type="dxa"/>
        <w:right w:w="0" w:type="dxa"/>
        <w:bottom w:w="0" w:type="dxa"/>
      </w:tblCellMar>
    </w:tblPr>
  </w:style>
  <w:style w:type="table" w:styleId="967" w:customStyle="1">
    <w:name w:val="Grid Table 5 Dark - Accent 5"/>
    <w:uiPriority w:val="99"/>
    <w:qFormat/>
    <w:tblPr>
      <w:tblCellMar>
        <w:left w:w="0" w:type="dxa"/>
        <w:top w:w="0" w:type="dxa"/>
        <w:right w:w="0" w:type="dxa"/>
        <w:bottom w:w="0" w:type="dxa"/>
      </w:tblCellMar>
    </w:tblPr>
  </w:style>
  <w:style w:type="table" w:styleId="968" w:customStyle="1">
    <w:name w:val="Grid Table 5 Dark - Accent 6"/>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Grid Table 7 Colorful - Accent 1"/>
    <w:uiPriority w:val="99"/>
    <w:qFormat/>
    <w:tblPr>
      <w:tblCellMar>
        <w:left w:w="0" w:type="dxa"/>
        <w:top w:w="0" w:type="dxa"/>
        <w:right w:w="0" w:type="dxa"/>
        <w:bottom w:w="0" w:type="dxa"/>
      </w:tblCellMar>
    </w:tblPr>
  </w:style>
  <w:style w:type="table" w:styleId="976" w:customStyle="1">
    <w:name w:val="Grid Table 7 Colorful - Accent 2"/>
    <w:uiPriority w:val="99"/>
    <w:qFormat/>
    <w:tblPr>
      <w:tblCellMar>
        <w:left w:w="0" w:type="dxa"/>
        <w:top w:w="0" w:type="dxa"/>
        <w:right w:w="0" w:type="dxa"/>
        <w:bottom w:w="0" w:type="dxa"/>
      </w:tblCellMar>
    </w:tblPr>
  </w:style>
  <w:style w:type="table" w:styleId="977" w:customStyle="1">
    <w:name w:val="Grid Table 7 Colorful - Accent 3"/>
    <w:uiPriority w:val="99"/>
    <w:qFormat/>
    <w:tblPr>
      <w:tblCellMar>
        <w:left w:w="0" w:type="dxa"/>
        <w:top w:w="0" w:type="dxa"/>
        <w:right w:w="0" w:type="dxa"/>
        <w:bottom w:w="0" w:type="dxa"/>
      </w:tblCellMar>
    </w:tblPr>
  </w:style>
  <w:style w:type="table" w:styleId="978" w:customStyle="1">
    <w:name w:val="Grid Table 7 Colorful - Accent 4"/>
    <w:uiPriority w:val="99"/>
    <w:qFormat/>
    <w:tblPr>
      <w:tblCellMar>
        <w:left w:w="0" w:type="dxa"/>
        <w:top w:w="0" w:type="dxa"/>
        <w:right w:w="0" w:type="dxa"/>
        <w:bottom w:w="0" w:type="dxa"/>
      </w:tblCellMar>
    </w:tblPr>
  </w:style>
  <w:style w:type="table" w:styleId="979" w:customStyle="1">
    <w:name w:val="Grid Table 7 Colorful - Accent 5"/>
    <w:uiPriority w:val="99"/>
    <w:qFormat/>
    <w:tblPr>
      <w:tblCellMar>
        <w:left w:w="0" w:type="dxa"/>
        <w:top w:w="0" w:type="dxa"/>
        <w:right w:w="0" w:type="dxa"/>
        <w:bottom w:w="0" w:type="dxa"/>
      </w:tblCellMar>
    </w:tblPr>
  </w:style>
  <w:style w:type="table" w:styleId="980" w:customStyle="1">
    <w:name w:val="Grid Table 7 Colorful - Accent 6"/>
    <w:uiPriority w:val="99"/>
    <w:qFormat/>
    <w:tblPr>
      <w:tblCellMar>
        <w:left w:w="0" w:type="dxa"/>
        <w:top w:w="0" w:type="dxa"/>
        <w:right w:w="0" w:type="dxa"/>
        <w:bottom w:w="0" w:type="dxa"/>
      </w:tblCellMar>
    </w:tblPr>
  </w:style>
  <w:style w:type="table" w:styleId="981" w:customStyle="1">
    <w:name w:val="List Table 1 Light - Accent 1"/>
    <w:uiPriority w:val="99"/>
    <w:qFormat/>
    <w:tblPr>
      <w:tblCellMar>
        <w:left w:w="0" w:type="dxa"/>
        <w:top w:w="0" w:type="dxa"/>
        <w:right w:w="0" w:type="dxa"/>
        <w:bottom w:w="0" w:type="dxa"/>
      </w:tblCellMar>
    </w:tblPr>
  </w:style>
  <w:style w:type="table" w:styleId="982" w:customStyle="1">
    <w:name w:val="List Table 1 Light - Accent 2"/>
    <w:uiPriority w:val="99"/>
    <w:qFormat/>
    <w:tblPr>
      <w:tblCellMar>
        <w:left w:w="0" w:type="dxa"/>
        <w:top w:w="0" w:type="dxa"/>
        <w:right w:w="0" w:type="dxa"/>
        <w:bottom w:w="0" w:type="dxa"/>
      </w:tblCellMar>
    </w:tblPr>
  </w:style>
  <w:style w:type="table" w:styleId="983" w:customStyle="1">
    <w:name w:val="List Table 1 Light - Accent 3"/>
    <w:uiPriority w:val="99"/>
    <w:qFormat/>
    <w:tblPr>
      <w:tblCellMar>
        <w:left w:w="0" w:type="dxa"/>
        <w:top w:w="0" w:type="dxa"/>
        <w:right w:w="0" w:type="dxa"/>
        <w:bottom w:w="0" w:type="dxa"/>
      </w:tblCellMar>
    </w:tblPr>
  </w:style>
  <w:style w:type="table" w:styleId="984" w:customStyle="1">
    <w:name w:val="List Table 1 Light - Accent 4"/>
    <w:uiPriority w:val="99"/>
    <w:qFormat/>
    <w:tblPr>
      <w:tblCellMar>
        <w:left w:w="0" w:type="dxa"/>
        <w:top w:w="0" w:type="dxa"/>
        <w:right w:w="0" w:type="dxa"/>
        <w:bottom w:w="0" w:type="dxa"/>
      </w:tblCellMar>
    </w:tblPr>
  </w:style>
  <w:style w:type="table" w:styleId="985" w:customStyle="1">
    <w:name w:val="List Table 1 Light - Accent 5"/>
    <w:uiPriority w:val="99"/>
    <w:qFormat/>
    <w:tblPr>
      <w:tblCellMar>
        <w:left w:w="0" w:type="dxa"/>
        <w:top w:w="0" w:type="dxa"/>
        <w:right w:w="0" w:type="dxa"/>
        <w:bottom w:w="0" w:type="dxa"/>
      </w:tblCellMar>
    </w:tblPr>
  </w:style>
  <w:style w:type="table" w:styleId="986" w:customStyle="1">
    <w:name w:val="List Table 1 Light - Accent 6"/>
    <w:uiPriority w:val="99"/>
    <w:qFormat/>
    <w:tblPr>
      <w:tblCellMar>
        <w:left w:w="0" w:type="dxa"/>
        <w:top w:w="0" w:type="dxa"/>
        <w:right w:w="0" w:type="dxa"/>
        <w:bottom w:w="0" w:type="dxa"/>
      </w:tblCellMar>
    </w:tblPr>
  </w:style>
  <w:style w:type="table" w:styleId="987" w:customStyle="1">
    <w:name w:val="List Table 2 - Accent 1"/>
    <w:uiPriority w:val="99"/>
    <w:qFormat/>
    <w:tblPr>
      <w:tblCellMar>
        <w:left w:w="0" w:type="dxa"/>
        <w:top w:w="0" w:type="dxa"/>
        <w:right w:w="0" w:type="dxa"/>
        <w:bottom w:w="0" w:type="dxa"/>
      </w:tblCellMar>
    </w:tblPr>
  </w:style>
  <w:style w:type="table" w:styleId="988" w:customStyle="1">
    <w:name w:val="List Table 2 - Accent 2"/>
    <w:uiPriority w:val="99"/>
    <w:qFormat/>
    <w:tblPr>
      <w:tblCellMar>
        <w:left w:w="0" w:type="dxa"/>
        <w:top w:w="0" w:type="dxa"/>
        <w:right w:w="0" w:type="dxa"/>
        <w:bottom w:w="0" w:type="dxa"/>
      </w:tblCellMar>
    </w:tblPr>
  </w:style>
  <w:style w:type="table" w:styleId="989" w:customStyle="1">
    <w:name w:val="List Table 2 - Accent 3"/>
    <w:uiPriority w:val="99"/>
    <w:qFormat/>
    <w:tblPr>
      <w:tblCellMar>
        <w:left w:w="0" w:type="dxa"/>
        <w:top w:w="0" w:type="dxa"/>
        <w:right w:w="0" w:type="dxa"/>
        <w:bottom w:w="0" w:type="dxa"/>
      </w:tblCellMar>
    </w:tblPr>
  </w:style>
  <w:style w:type="table" w:styleId="990" w:customStyle="1">
    <w:name w:val="List Table 2 - Accent 4"/>
    <w:uiPriority w:val="99"/>
    <w:qFormat/>
    <w:tblPr>
      <w:tblCellMar>
        <w:left w:w="0" w:type="dxa"/>
        <w:top w:w="0" w:type="dxa"/>
        <w:right w:w="0" w:type="dxa"/>
        <w:bottom w:w="0" w:type="dxa"/>
      </w:tblCellMar>
    </w:tblPr>
  </w:style>
  <w:style w:type="table" w:styleId="991" w:customStyle="1">
    <w:name w:val="List Table 2 - Accent 5"/>
    <w:uiPriority w:val="99"/>
    <w:qFormat/>
    <w:tblPr>
      <w:tblCellMar>
        <w:left w:w="0" w:type="dxa"/>
        <w:top w:w="0" w:type="dxa"/>
        <w:right w:w="0" w:type="dxa"/>
        <w:bottom w:w="0" w:type="dxa"/>
      </w:tblCellMar>
    </w:tblPr>
  </w:style>
  <w:style w:type="table" w:styleId="992" w:customStyle="1">
    <w:name w:val="List Table 2 - Accent 6"/>
    <w:uiPriority w:val="99"/>
    <w:qFormat/>
    <w:tblPr>
      <w:tblCellMar>
        <w:left w:w="0" w:type="dxa"/>
        <w:top w:w="0" w:type="dxa"/>
        <w:right w:w="0" w:type="dxa"/>
        <w:bottom w:w="0" w:type="dxa"/>
      </w:tblCellMar>
    </w:tblPr>
  </w:style>
  <w:style w:type="table" w:styleId="993" w:customStyle="1">
    <w:name w:val="List Table 3 - Accent 1"/>
    <w:uiPriority w:val="99"/>
    <w:qFormat/>
    <w:tblPr>
      <w:tblCellMar>
        <w:left w:w="0" w:type="dxa"/>
        <w:top w:w="0" w:type="dxa"/>
        <w:right w:w="0" w:type="dxa"/>
        <w:bottom w:w="0" w:type="dxa"/>
      </w:tblCellMar>
    </w:tblPr>
  </w:style>
  <w:style w:type="table" w:styleId="994" w:customStyle="1">
    <w:name w:val="List Table 3 - Accent 2"/>
    <w:uiPriority w:val="99"/>
    <w:qFormat/>
    <w:tblPr>
      <w:tblCellMar>
        <w:left w:w="0" w:type="dxa"/>
        <w:top w:w="0" w:type="dxa"/>
        <w:right w:w="0" w:type="dxa"/>
        <w:bottom w:w="0" w:type="dxa"/>
      </w:tblCellMar>
    </w:tblPr>
  </w:style>
  <w:style w:type="table" w:styleId="995" w:customStyle="1">
    <w:name w:val="List Table 3 - Accent 3"/>
    <w:uiPriority w:val="99"/>
    <w:qFormat/>
    <w:tblPr>
      <w:tblCellMar>
        <w:left w:w="0" w:type="dxa"/>
        <w:top w:w="0" w:type="dxa"/>
        <w:right w:w="0" w:type="dxa"/>
        <w:bottom w:w="0" w:type="dxa"/>
      </w:tblCellMar>
    </w:tblPr>
  </w:style>
  <w:style w:type="table" w:styleId="996" w:customStyle="1">
    <w:name w:val="List Table 3 - Accent 4"/>
    <w:uiPriority w:val="99"/>
    <w:qFormat/>
    <w:tblPr>
      <w:tblCellMar>
        <w:left w:w="0" w:type="dxa"/>
        <w:top w:w="0" w:type="dxa"/>
        <w:right w:w="0" w:type="dxa"/>
        <w:bottom w:w="0" w:type="dxa"/>
      </w:tblCellMar>
    </w:tblPr>
  </w:style>
  <w:style w:type="table" w:styleId="997" w:customStyle="1">
    <w:name w:val="List Table 3 - Accent 5"/>
    <w:uiPriority w:val="99"/>
    <w:qFormat/>
    <w:tblPr>
      <w:tblCellMar>
        <w:left w:w="0" w:type="dxa"/>
        <w:top w:w="0" w:type="dxa"/>
        <w:right w:w="0" w:type="dxa"/>
        <w:bottom w:w="0" w:type="dxa"/>
      </w:tblCellMar>
    </w:tblPr>
  </w:style>
  <w:style w:type="table" w:styleId="998" w:customStyle="1">
    <w:name w:val="List Table 3 - Accent 6"/>
    <w:uiPriority w:val="99"/>
    <w:qFormat/>
    <w:tblPr>
      <w:tblCellMar>
        <w:left w:w="0" w:type="dxa"/>
        <w:top w:w="0" w:type="dxa"/>
        <w:right w:w="0" w:type="dxa"/>
        <w:bottom w:w="0" w:type="dxa"/>
      </w:tblCellMar>
    </w:tblPr>
  </w:style>
  <w:style w:type="table" w:styleId="999" w:customStyle="1">
    <w:name w:val="List Table 4 - Accent 1"/>
    <w:uiPriority w:val="99"/>
    <w:qFormat/>
    <w:tblPr>
      <w:tblCellMar>
        <w:left w:w="0" w:type="dxa"/>
        <w:top w:w="0" w:type="dxa"/>
        <w:right w:w="0" w:type="dxa"/>
        <w:bottom w:w="0" w:type="dxa"/>
      </w:tblCellMar>
    </w:tblPr>
  </w:style>
  <w:style w:type="table" w:styleId="1000" w:customStyle="1">
    <w:name w:val="List Table 4 - Accent 2"/>
    <w:uiPriority w:val="99"/>
    <w:qFormat/>
    <w:tblPr>
      <w:tblCellMar>
        <w:left w:w="0" w:type="dxa"/>
        <w:top w:w="0" w:type="dxa"/>
        <w:right w:w="0" w:type="dxa"/>
        <w:bottom w:w="0" w:type="dxa"/>
      </w:tblCellMar>
    </w:tblPr>
  </w:style>
  <w:style w:type="table" w:styleId="1001" w:customStyle="1">
    <w:name w:val="List Table 4 - Accent 3"/>
    <w:uiPriority w:val="99"/>
    <w:qFormat/>
    <w:tblPr>
      <w:tblCellMar>
        <w:left w:w="0" w:type="dxa"/>
        <w:top w:w="0" w:type="dxa"/>
        <w:right w:w="0" w:type="dxa"/>
        <w:bottom w:w="0" w:type="dxa"/>
      </w:tblCellMar>
    </w:tblPr>
  </w:style>
  <w:style w:type="table" w:styleId="1002" w:customStyle="1">
    <w:name w:val="List Table 4 - Accent 4"/>
    <w:uiPriority w:val="99"/>
    <w:qFormat/>
    <w:tblPr>
      <w:tblCellMar>
        <w:left w:w="0" w:type="dxa"/>
        <w:top w:w="0" w:type="dxa"/>
        <w:right w:w="0" w:type="dxa"/>
        <w:bottom w:w="0" w:type="dxa"/>
      </w:tblCellMar>
    </w:tblPr>
  </w:style>
  <w:style w:type="table" w:styleId="1003" w:customStyle="1">
    <w:name w:val="List Table 4 - Accent 5"/>
    <w:uiPriority w:val="99"/>
    <w:qFormat/>
    <w:tblPr>
      <w:tblCellMar>
        <w:left w:w="0" w:type="dxa"/>
        <w:top w:w="0" w:type="dxa"/>
        <w:right w:w="0" w:type="dxa"/>
        <w:bottom w:w="0" w:type="dxa"/>
      </w:tblCellMar>
    </w:tblPr>
  </w:style>
  <w:style w:type="table" w:styleId="1004" w:customStyle="1">
    <w:name w:val="List Table 4 - Accent 6"/>
    <w:uiPriority w:val="99"/>
    <w:qFormat/>
    <w:tblPr>
      <w:tblCellMar>
        <w:left w:w="0" w:type="dxa"/>
        <w:top w:w="0" w:type="dxa"/>
        <w:right w:w="0" w:type="dxa"/>
        <w:bottom w:w="0" w:type="dxa"/>
      </w:tblCellMar>
    </w:tblPr>
  </w:style>
  <w:style w:type="table" w:styleId="1005" w:customStyle="1">
    <w:name w:val="List Table 5 Dark - Accent 1"/>
    <w:uiPriority w:val="99"/>
    <w:qFormat/>
    <w:tblPr>
      <w:tblCellMar>
        <w:left w:w="0" w:type="dxa"/>
        <w:top w:w="0" w:type="dxa"/>
        <w:right w:w="0" w:type="dxa"/>
        <w:bottom w:w="0" w:type="dxa"/>
      </w:tblCellMar>
    </w:tblPr>
  </w:style>
  <w:style w:type="table" w:styleId="1006" w:customStyle="1">
    <w:name w:val="List Table 5 Dark - Accent 2"/>
    <w:uiPriority w:val="99"/>
    <w:qFormat/>
    <w:tblPr>
      <w:tblCellMar>
        <w:left w:w="0" w:type="dxa"/>
        <w:top w:w="0" w:type="dxa"/>
        <w:right w:w="0" w:type="dxa"/>
        <w:bottom w:w="0" w:type="dxa"/>
      </w:tblCellMar>
    </w:tblPr>
  </w:style>
  <w:style w:type="table" w:styleId="1007" w:customStyle="1">
    <w:name w:val="List Table 5 Dark - Accent 3"/>
    <w:uiPriority w:val="99"/>
    <w:qFormat/>
    <w:tblPr>
      <w:tblCellMar>
        <w:left w:w="0" w:type="dxa"/>
        <w:top w:w="0" w:type="dxa"/>
        <w:right w:w="0" w:type="dxa"/>
        <w:bottom w:w="0" w:type="dxa"/>
      </w:tblCellMar>
    </w:tblPr>
  </w:style>
  <w:style w:type="table" w:styleId="1008" w:customStyle="1">
    <w:name w:val="List Table 5 Dark - Accent 4"/>
    <w:uiPriority w:val="99"/>
    <w:qFormat/>
    <w:tblPr>
      <w:tblCellMar>
        <w:left w:w="0" w:type="dxa"/>
        <w:top w:w="0" w:type="dxa"/>
        <w:right w:w="0" w:type="dxa"/>
        <w:bottom w:w="0" w:type="dxa"/>
      </w:tblCellMar>
    </w:tblPr>
  </w:style>
  <w:style w:type="table" w:styleId="1009" w:customStyle="1">
    <w:name w:val="List Table 5 Dark - Accent 5"/>
    <w:uiPriority w:val="99"/>
    <w:qFormat/>
    <w:tblPr>
      <w:tblCellMar>
        <w:left w:w="0" w:type="dxa"/>
        <w:top w:w="0" w:type="dxa"/>
        <w:right w:w="0" w:type="dxa"/>
        <w:bottom w:w="0" w:type="dxa"/>
      </w:tblCellMar>
    </w:tblPr>
  </w:style>
  <w:style w:type="table" w:styleId="1010" w:customStyle="1">
    <w:name w:val="List Table 5 Dark - Accent 6"/>
    <w:uiPriority w:val="99"/>
    <w:qFormat/>
    <w:tblPr>
      <w:tblCellMar>
        <w:left w:w="0" w:type="dxa"/>
        <w:top w:w="0" w:type="dxa"/>
        <w:right w:w="0" w:type="dxa"/>
        <w:bottom w:w="0" w:type="dxa"/>
      </w:tblCellMar>
    </w:tblPr>
  </w:style>
  <w:style w:type="table" w:styleId="1011" w:customStyle="1">
    <w:name w:val="List Table 6 Colorful - Accent 1"/>
    <w:uiPriority w:val="99"/>
    <w:qFormat/>
    <w:tblPr>
      <w:tblCellMar>
        <w:left w:w="0" w:type="dxa"/>
        <w:top w:w="0" w:type="dxa"/>
        <w:right w:w="0" w:type="dxa"/>
        <w:bottom w:w="0" w:type="dxa"/>
      </w:tblCellMar>
    </w:tblPr>
  </w:style>
  <w:style w:type="table" w:styleId="1012" w:customStyle="1">
    <w:name w:val="List Table 6 Colorful - Accent 2"/>
    <w:uiPriority w:val="99"/>
    <w:qFormat/>
    <w:tblPr>
      <w:tblCellMar>
        <w:left w:w="0" w:type="dxa"/>
        <w:top w:w="0" w:type="dxa"/>
        <w:right w:w="0" w:type="dxa"/>
        <w:bottom w:w="0" w:type="dxa"/>
      </w:tblCellMar>
    </w:tblPr>
  </w:style>
  <w:style w:type="table" w:styleId="1013" w:customStyle="1">
    <w:name w:val="List Table 6 Colorful - Accent 3"/>
    <w:uiPriority w:val="99"/>
    <w:qFormat/>
    <w:tblPr>
      <w:tblCellMar>
        <w:left w:w="0" w:type="dxa"/>
        <w:top w:w="0" w:type="dxa"/>
        <w:right w:w="0" w:type="dxa"/>
        <w:bottom w:w="0" w:type="dxa"/>
      </w:tblCellMar>
    </w:tblPr>
  </w:style>
  <w:style w:type="table" w:styleId="1014" w:customStyle="1">
    <w:name w:val="List Table 6 Colorful - Accent 4"/>
    <w:uiPriority w:val="99"/>
    <w:qFormat/>
    <w:tblPr>
      <w:tblCellMar>
        <w:left w:w="0" w:type="dxa"/>
        <w:top w:w="0" w:type="dxa"/>
        <w:right w:w="0" w:type="dxa"/>
        <w:bottom w:w="0" w:type="dxa"/>
      </w:tblCellMar>
    </w:tblPr>
  </w:style>
  <w:style w:type="table" w:styleId="1015" w:customStyle="1">
    <w:name w:val="List Table 6 Colorful - Accent 5"/>
    <w:uiPriority w:val="99"/>
    <w:qFormat/>
    <w:tblPr>
      <w:tblCellMar>
        <w:left w:w="0" w:type="dxa"/>
        <w:top w:w="0" w:type="dxa"/>
        <w:right w:w="0" w:type="dxa"/>
        <w:bottom w:w="0" w:type="dxa"/>
      </w:tblCellMar>
    </w:tblPr>
  </w:style>
  <w:style w:type="table" w:styleId="1016" w:customStyle="1">
    <w:name w:val="List Table 6 Colorful - Accent 6"/>
    <w:uiPriority w:val="99"/>
    <w:qFormat/>
    <w:tblPr>
      <w:tblCellMar>
        <w:left w:w="0" w:type="dxa"/>
        <w:top w:w="0" w:type="dxa"/>
        <w:right w:w="0" w:type="dxa"/>
        <w:bottom w:w="0" w:type="dxa"/>
      </w:tblCellMar>
    </w:tblPr>
  </w:style>
  <w:style w:type="table" w:styleId="1017" w:customStyle="1">
    <w:name w:val="List Table 7 Colorful - Accent 1"/>
    <w:uiPriority w:val="99"/>
    <w:qFormat/>
    <w:tblPr>
      <w:tblCellMar>
        <w:left w:w="0" w:type="dxa"/>
        <w:top w:w="0" w:type="dxa"/>
        <w:right w:w="0" w:type="dxa"/>
        <w:bottom w:w="0" w:type="dxa"/>
      </w:tblCellMar>
    </w:tblPr>
  </w:style>
  <w:style w:type="table" w:styleId="1018" w:customStyle="1">
    <w:name w:val="List Table 7 Colorful - Accent 2"/>
    <w:uiPriority w:val="99"/>
    <w:qFormat/>
    <w:tblPr>
      <w:tblCellMar>
        <w:left w:w="0" w:type="dxa"/>
        <w:top w:w="0" w:type="dxa"/>
        <w:right w:w="0" w:type="dxa"/>
        <w:bottom w:w="0" w:type="dxa"/>
      </w:tblCellMar>
    </w:tblPr>
  </w:style>
  <w:style w:type="table" w:styleId="1019" w:customStyle="1">
    <w:name w:val="List Table 7 Colorful - Accent 3"/>
    <w:uiPriority w:val="99"/>
    <w:qFormat/>
    <w:tblPr>
      <w:tblCellMar>
        <w:left w:w="0" w:type="dxa"/>
        <w:top w:w="0" w:type="dxa"/>
        <w:right w:w="0" w:type="dxa"/>
        <w:bottom w:w="0" w:type="dxa"/>
      </w:tblCellMar>
    </w:tblPr>
  </w:style>
  <w:style w:type="table" w:styleId="1020" w:customStyle="1">
    <w:name w:val="List Table 7 Colorful - Accent 4"/>
    <w:uiPriority w:val="99"/>
    <w:qFormat/>
    <w:tblPr>
      <w:tblCellMar>
        <w:left w:w="0" w:type="dxa"/>
        <w:top w:w="0" w:type="dxa"/>
        <w:right w:w="0" w:type="dxa"/>
        <w:bottom w:w="0" w:type="dxa"/>
      </w:tblCellMar>
    </w:tblPr>
  </w:style>
  <w:style w:type="table" w:styleId="1021" w:customStyle="1">
    <w:name w:val="List Table 7 Colorful - Accent 5"/>
    <w:uiPriority w:val="99"/>
    <w:qFormat/>
    <w:tblPr>
      <w:tblCellMar>
        <w:left w:w="0" w:type="dxa"/>
        <w:top w:w="0" w:type="dxa"/>
        <w:right w:w="0" w:type="dxa"/>
        <w:bottom w:w="0" w:type="dxa"/>
      </w:tblCellMar>
    </w:tblPr>
  </w:style>
  <w:style w:type="table" w:styleId="1022" w:customStyle="1">
    <w:name w:val="List Table 7 Colorful - Accent 6"/>
    <w:uiPriority w:val="99"/>
    <w:qFormat/>
    <w:tblPr>
      <w:tblCellMar>
        <w:left w:w="0" w:type="dxa"/>
        <w:top w:w="0" w:type="dxa"/>
        <w:right w:w="0" w:type="dxa"/>
        <w:bottom w:w="0" w:type="dxa"/>
      </w:tblCellMar>
    </w:tblPr>
  </w:style>
  <w:style w:type="table" w:styleId="1023" w:customStyle="1">
    <w:name w:val="Lined - Accent"/>
    <w:uiPriority w:val="99"/>
    <w:qFormat/>
    <w:rPr>
      <w:color w:val="404040"/>
    </w:rPr>
    <w:tblPr>
      <w:tblCellMar>
        <w:left w:w="0" w:type="dxa"/>
        <w:top w:w="0" w:type="dxa"/>
        <w:right w:w="0" w:type="dxa"/>
        <w:bottom w:w="0" w:type="dxa"/>
      </w:tblCellMar>
    </w:tblPr>
  </w:style>
  <w:style w:type="table" w:styleId="1024" w:customStyle="1">
    <w:name w:val="Lined - Accent 1"/>
    <w:uiPriority w:val="99"/>
    <w:qFormat/>
    <w:rPr>
      <w:color w:val="404040"/>
    </w:rPr>
    <w:tblPr>
      <w:tblCellMar>
        <w:left w:w="0" w:type="dxa"/>
        <w:top w:w="0" w:type="dxa"/>
        <w:right w:w="0" w:type="dxa"/>
        <w:bottom w:w="0" w:type="dxa"/>
      </w:tblCellMar>
    </w:tblPr>
  </w:style>
  <w:style w:type="table" w:styleId="1025" w:customStyle="1">
    <w:name w:val="Lined - Accent 2"/>
    <w:uiPriority w:val="99"/>
    <w:qFormat/>
    <w:rPr>
      <w:color w:val="404040"/>
    </w:rPr>
    <w:tblPr>
      <w:tblCellMar>
        <w:left w:w="0" w:type="dxa"/>
        <w:top w:w="0" w:type="dxa"/>
        <w:right w:w="0" w:type="dxa"/>
        <w:bottom w:w="0" w:type="dxa"/>
      </w:tblCellMar>
    </w:tblPr>
  </w:style>
  <w:style w:type="table" w:styleId="1026" w:customStyle="1">
    <w:name w:val="Lined - Accent 3"/>
    <w:uiPriority w:val="99"/>
    <w:qFormat/>
    <w:rPr>
      <w:color w:val="404040"/>
    </w:rPr>
    <w:tblPr>
      <w:tblCellMar>
        <w:left w:w="0" w:type="dxa"/>
        <w:top w:w="0" w:type="dxa"/>
        <w:right w:w="0" w:type="dxa"/>
        <w:bottom w:w="0" w:type="dxa"/>
      </w:tblCellMar>
    </w:tblPr>
  </w:style>
  <w:style w:type="table" w:styleId="1027" w:customStyle="1">
    <w:name w:val="Lined - Accent 4"/>
    <w:uiPriority w:val="99"/>
    <w:qFormat/>
    <w:rPr>
      <w:color w:val="404040"/>
    </w:rPr>
    <w:tblPr>
      <w:tblCellMar>
        <w:left w:w="0" w:type="dxa"/>
        <w:top w:w="0" w:type="dxa"/>
        <w:right w:w="0" w:type="dxa"/>
        <w:bottom w:w="0" w:type="dxa"/>
      </w:tblCellMar>
    </w:tblPr>
  </w:style>
  <w:style w:type="table" w:styleId="1028" w:customStyle="1">
    <w:name w:val="Lined - Accent 5"/>
    <w:uiPriority w:val="99"/>
    <w:qFormat/>
    <w:rPr>
      <w:color w:val="404040"/>
    </w:rPr>
    <w:tblPr>
      <w:tblCellMar>
        <w:left w:w="0" w:type="dxa"/>
        <w:top w:w="0" w:type="dxa"/>
        <w:right w:w="0" w:type="dxa"/>
        <w:bottom w:w="0" w:type="dxa"/>
      </w:tblCellMar>
    </w:tblPr>
  </w:style>
  <w:style w:type="table" w:styleId="1029" w:customStyle="1">
    <w:name w:val="Lined - Accent 6"/>
    <w:uiPriority w:val="99"/>
    <w:qFormat/>
    <w:rPr>
      <w:color w:val="404040"/>
    </w:rPr>
    <w:tblPr>
      <w:tblCellMar>
        <w:left w:w="0" w:type="dxa"/>
        <w:top w:w="0" w:type="dxa"/>
        <w:right w:w="0" w:type="dxa"/>
        <w:bottom w:w="0" w:type="dxa"/>
      </w:tblCellMar>
    </w:tblPr>
  </w:style>
  <w:style w:type="table" w:styleId="1030" w:customStyle="1">
    <w:name w:val="Bordered &amp; Lined - Accent"/>
    <w:uiPriority w:val="99"/>
    <w:qFormat/>
    <w:rPr>
      <w:color w:val="404040"/>
    </w:rPr>
    <w:tblPr>
      <w:tblCellMar>
        <w:left w:w="0" w:type="dxa"/>
        <w:top w:w="0" w:type="dxa"/>
        <w:right w:w="0" w:type="dxa"/>
        <w:bottom w:w="0" w:type="dxa"/>
      </w:tblCellMar>
    </w:tblPr>
  </w:style>
  <w:style w:type="table" w:styleId="1031" w:customStyle="1">
    <w:name w:val="Bordered &amp; Lined - Accent 1"/>
    <w:uiPriority w:val="99"/>
    <w:qFormat/>
    <w:rPr>
      <w:color w:val="404040"/>
    </w:rPr>
    <w:tblPr>
      <w:tblCellMar>
        <w:left w:w="0" w:type="dxa"/>
        <w:top w:w="0" w:type="dxa"/>
        <w:right w:w="0" w:type="dxa"/>
        <w:bottom w:w="0" w:type="dxa"/>
      </w:tblCellMar>
    </w:tblPr>
  </w:style>
  <w:style w:type="table" w:styleId="1032" w:customStyle="1">
    <w:name w:val="Bordered &amp; Lined - Accent 2"/>
    <w:uiPriority w:val="99"/>
    <w:qFormat/>
    <w:rPr>
      <w:color w:val="404040"/>
    </w:rPr>
    <w:tblPr>
      <w:tblCellMar>
        <w:left w:w="0" w:type="dxa"/>
        <w:top w:w="0" w:type="dxa"/>
        <w:right w:w="0" w:type="dxa"/>
        <w:bottom w:w="0" w:type="dxa"/>
      </w:tblCellMar>
    </w:tblPr>
  </w:style>
  <w:style w:type="table" w:styleId="1033" w:customStyle="1">
    <w:name w:val="Bordered &amp; Lined - Accent 3"/>
    <w:uiPriority w:val="99"/>
    <w:qFormat/>
    <w:rPr>
      <w:color w:val="404040"/>
    </w:rPr>
    <w:tblPr>
      <w:tblCellMar>
        <w:left w:w="0" w:type="dxa"/>
        <w:top w:w="0" w:type="dxa"/>
        <w:right w:w="0" w:type="dxa"/>
        <w:bottom w:w="0" w:type="dxa"/>
      </w:tblCellMar>
    </w:tblPr>
  </w:style>
  <w:style w:type="table" w:styleId="1034" w:customStyle="1">
    <w:name w:val="Bordered &amp; Lined - Accent 4"/>
    <w:uiPriority w:val="99"/>
    <w:qFormat/>
    <w:rPr>
      <w:color w:val="404040"/>
    </w:rPr>
    <w:tblPr>
      <w:tblCellMar>
        <w:left w:w="0" w:type="dxa"/>
        <w:top w:w="0" w:type="dxa"/>
        <w:right w:w="0" w:type="dxa"/>
        <w:bottom w:w="0" w:type="dxa"/>
      </w:tblCellMar>
    </w:tblPr>
  </w:style>
  <w:style w:type="table" w:styleId="1035" w:customStyle="1">
    <w:name w:val="Bordered &amp; Lined - Accent 5"/>
    <w:uiPriority w:val="99"/>
    <w:qFormat/>
    <w:rPr>
      <w:color w:val="404040"/>
    </w:rPr>
    <w:tblPr>
      <w:tblCellMar>
        <w:left w:w="0" w:type="dxa"/>
        <w:top w:w="0" w:type="dxa"/>
        <w:right w:w="0" w:type="dxa"/>
        <w:bottom w:w="0" w:type="dxa"/>
      </w:tblCellMar>
    </w:tblPr>
  </w:style>
  <w:style w:type="table" w:styleId="1036" w:customStyle="1">
    <w:name w:val="Bordered &amp; Lined - Accent 6"/>
    <w:uiPriority w:val="99"/>
    <w:qFormat/>
    <w:rPr>
      <w:color w:val="404040"/>
    </w:rPr>
    <w:tblPr>
      <w:tblCellMar>
        <w:left w:w="0" w:type="dxa"/>
        <w:top w:w="0" w:type="dxa"/>
        <w:right w:w="0" w:type="dxa"/>
        <w:bottom w:w="0" w:type="dxa"/>
      </w:tblCellMar>
    </w:tblPr>
  </w:style>
  <w:style w:type="table" w:styleId="1037" w:customStyle="1">
    <w:name w:val="Bordered"/>
    <w:uiPriority w:val="99"/>
    <w:qFormat/>
    <w:tblPr>
      <w:tblCellMar>
        <w:left w:w="0" w:type="dxa"/>
        <w:top w:w="0" w:type="dxa"/>
        <w:right w:w="0" w:type="dxa"/>
        <w:bottom w:w="0" w:type="dxa"/>
      </w:tblCellMar>
    </w:tblPr>
  </w:style>
  <w:style w:type="table" w:styleId="1038" w:customStyle="1">
    <w:name w:val="Bordered - Accent 1"/>
    <w:uiPriority w:val="99"/>
    <w:qFormat/>
    <w:tblPr>
      <w:tblCellMar>
        <w:left w:w="0" w:type="dxa"/>
        <w:top w:w="0" w:type="dxa"/>
        <w:right w:w="0" w:type="dxa"/>
        <w:bottom w:w="0" w:type="dxa"/>
      </w:tblCellMar>
    </w:tblPr>
  </w:style>
  <w:style w:type="table" w:styleId="1039" w:customStyle="1">
    <w:name w:val="Bordered - Accent 2"/>
    <w:uiPriority w:val="99"/>
    <w:qFormat/>
    <w:tblPr>
      <w:tblCellMar>
        <w:left w:w="0" w:type="dxa"/>
        <w:top w:w="0" w:type="dxa"/>
        <w:right w:w="0" w:type="dxa"/>
        <w:bottom w:w="0" w:type="dxa"/>
      </w:tblCellMar>
    </w:tblPr>
  </w:style>
  <w:style w:type="table" w:styleId="1040" w:customStyle="1">
    <w:name w:val="Bordered - Accent 3"/>
    <w:uiPriority w:val="99"/>
    <w:qFormat/>
    <w:tblPr>
      <w:tblCellMar>
        <w:left w:w="0" w:type="dxa"/>
        <w:top w:w="0" w:type="dxa"/>
        <w:right w:w="0" w:type="dxa"/>
        <w:bottom w:w="0" w:type="dxa"/>
      </w:tblCellMar>
    </w:tblPr>
  </w:style>
  <w:style w:type="table" w:styleId="1041" w:customStyle="1">
    <w:name w:val="Bordered - Accent 4"/>
    <w:uiPriority w:val="99"/>
    <w:qFormat/>
    <w:tblPr>
      <w:tblCellMar>
        <w:left w:w="0" w:type="dxa"/>
        <w:top w:w="0" w:type="dxa"/>
        <w:right w:w="0" w:type="dxa"/>
        <w:bottom w:w="0" w:type="dxa"/>
      </w:tblCellMar>
    </w:tblPr>
  </w:style>
  <w:style w:type="table" w:styleId="1042" w:customStyle="1">
    <w:name w:val="Bordered - Accent 5"/>
    <w:uiPriority w:val="99"/>
    <w:qFormat/>
    <w:tblPr>
      <w:tblCellMar>
        <w:left w:w="0" w:type="dxa"/>
        <w:top w:w="0" w:type="dxa"/>
        <w:right w:w="0" w:type="dxa"/>
        <w:bottom w:w="0" w:type="dxa"/>
      </w:tblCellMar>
    </w:tblPr>
  </w:style>
  <w:style w:type="table" w:styleId="1043" w:customStyle="1">
    <w:name w:val="Bordered - Accent 6"/>
    <w:uiPriority w:val="99"/>
    <w:qFormat/>
    <w:tblPr>
      <w:tblCellMar>
        <w:left w:w="0" w:type="dxa"/>
        <w:top w:w="0" w:type="dxa"/>
        <w:right w:w="0" w:type="dxa"/>
        <w:bottom w:w="0" w:type="dxa"/>
      </w:tblCellMar>
    </w:tblPr>
  </w:style>
  <w:style w:type="paragraph" w:styleId="1044" w:customStyle="1">
    <w:name w:val="TOC 标题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45" w:customStyle="1">
    <w:name w:val="标题 11"/>
    <w:basedOn w:val="791"/>
    <w:next w:val="791"/>
    <w:link w:val="1046"/>
    <w:uiPriority w:val="0"/>
    <w:qFormat/>
    <w:pPr>
      <w:jc w:val="center"/>
      <w:keepNext/>
      <w:outlineLvl w:val="0"/>
    </w:pPr>
    <w:rPr>
      <w:rFonts w:ascii="楷体_GB2312" w:eastAsia="楷体_GB2312"/>
      <w:sz w:val="28"/>
      <w:szCs w:val="28"/>
      <w:lang w:eastAsia="en-US"/>
    </w:rPr>
  </w:style>
  <w:style w:type="character" w:styleId="1046" w:customStyle="1">
    <w:name w:val="标题 1 Char"/>
    <w:link w:val="1045"/>
    <w:uiPriority w:val="0"/>
    <w:qFormat/>
    <w:rPr>
      <w:rFonts w:ascii="楷体_GB2312" w:hAnsi="Times New Roman" w:eastAsia="楷体_GB2312" w:cs="Times New Roman"/>
      <w:sz w:val="28"/>
      <w:szCs w:val="28"/>
    </w:rPr>
  </w:style>
  <w:style w:type="paragraph" w:styleId="1047" w:customStyle="1">
    <w:name w:val="标题 212"/>
    <w:basedOn w:val="791"/>
    <w:next w:val="1048"/>
    <w:link w:val="104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48" w:customStyle="1">
    <w:name w:val="正文缩进1"/>
    <w:basedOn w:val="791"/>
    <w:next w:val="791"/>
    <w:link w:val="1050"/>
    <w:uiPriority w:val="0"/>
    <w:qFormat/>
    <w:pPr>
      <w:ind w:firstLine="420"/>
    </w:pPr>
    <w:rPr>
      <w:sz w:val="20"/>
      <w:szCs w:val="21"/>
      <w:lang w:eastAsia="en-US"/>
    </w:rPr>
  </w:style>
  <w:style w:type="character" w:styleId="1049" w:customStyle="1">
    <w:name w:val="标题 2 Char"/>
    <w:link w:val="1047"/>
    <w:uiPriority w:val="0"/>
    <w:qFormat/>
    <w:rPr>
      <w:rFonts w:ascii="Arial" w:hAnsi="Arial" w:eastAsia="幼圆" w:cs="Arial"/>
      <w:b/>
      <w:bCs/>
      <w:sz w:val="44"/>
      <w:szCs w:val="44"/>
    </w:rPr>
  </w:style>
  <w:style w:type="character" w:styleId="1050" w:customStyle="1">
    <w:name w:val="正文缩进 Char"/>
    <w:link w:val="1048"/>
    <w:uiPriority w:val="0"/>
    <w:qFormat/>
    <w:rPr>
      <w:szCs w:val="21"/>
    </w:rPr>
  </w:style>
  <w:style w:type="paragraph" w:styleId="1051" w:customStyle="1">
    <w:name w:val="标题 31"/>
    <w:basedOn w:val="791"/>
    <w:next w:val="1048"/>
    <w:link w:val="1052"/>
    <w:uiPriority w:val="0"/>
    <w:qFormat/>
    <w:pPr>
      <w:keepLines/>
      <w:keepNext/>
      <w:spacing w:before="260" w:after="260" w:line="416" w:lineRule="auto"/>
      <w:outlineLvl w:val="2"/>
    </w:pPr>
    <w:rPr>
      <w:b/>
      <w:bCs/>
      <w:sz w:val="32"/>
      <w:szCs w:val="32"/>
      <w:lang w:eastAsia="en-US"/>
    </w:rPr>
  </w:style>
  <w:style w:type="character" w:styleId="1052" w:customStyle="1">
    <w:name w:val="标题 3 Char"/>
    <w:link w:val="1051"/>
    <w:uiPriority w:val="0"/>
    <w:qFormat/>
    <w:rPr>
      <w:rFonts w:ascii="Times New Roman" w:hAnsi="Times New Roman" w:eastAsia="宋体" w:cs="Times New Roman"/>
      <w:b/>
      <w:bCs/>
      <w:sz w:val="32"/>
      <w:szCs w:val="32"/>
    </w:rPr>
  </w:style>
  <w:style w:type="paragraph" w:styleId="1053" w:customStyle="1">
    <w:name w:val="标题 41"/>
    <w:basedOn w:val="791"/>
    <w:next w:val="1048"/>
    <w:link w:val="105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4" w:customStyle="1">
    <w:name w:val="标题 4 Char"/>
    <w:link w:val="1053"/>
    <w:uiPriority w:val="0"/>
    <w:qFormat/>
    <w:rPr>
      <w:rFonts w:ascii="Arial" w:hAnsi="Arial" w:eastAsia="黑体" w:cs="Arial"/>
      <w:b/>
      <w:bCs/>
      <w:sz w:val="28"/>
      <w:szCs w:val="28"/>
    </w:rPr>
  </w:style>
  <w:style w:type="paragraph" w:styleId="1055" w:customStyle="1">
    <w:name w:val="标题 51"/>
    <w:basedOn w:val="791"/>
    <w:next w:val="1048"/>
    <w:link w:val="1056"/>
    <w:uiPriority w:val="0"/>
    <w:qFormat/>
    <w:pPr>
      <w:keepNext/>
      <w:outlineLvl w:val="4"/>
    </w:pPr>
    <w:rPr>
      <w:rFonts w:ascii="宋体"/>
      <w:color w:val="000000"/>
      <w:sz w:val="28"/>
      <w:szCs w:val="28"/>
      <w:lang w:eastAsia="en-US"/>
    </w:rPr>
  </w:style>
  <w:style w:type="character" w:styleId="1056" w:customStyle="1">
    <w:name w:val="标题 5 Char"/>
    <w:link w:val="1055"/>
    <w:uiPriority w:val="0"/>
    <w:qFormat/>
    <w:rPr>
      <w:rFonts w:ascii="宋体" w:hAnsi="Times New Roman" w:eastAsia="宋体" w:cs="Times New Roman"/>
      <w:color w:val="000000"/>
      <w:sz w:val="28"/>
      <w:szCs w:val="28"/>
    </w:rPr>
  </w:style>
  <w:style w:type="paragraph" w:styleId="1057" w:customStyle="1">
    <w:name w:val="标题 61"/>
    <w:basedOn w:val="791"/>
    <w:next w:val="791"/>
    <w:link w:val="105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58" w:customStyle="1">
    <w:name w:val="标题 6 Char"/>
    <w:link w:val="1057"/>
    <w:uiPriority w:val="0"/>
    <w:qFormat/>
    <w:rPr>
      <w:rFonts w:ascii="Arial" w:hAnsi="Arial" w:eastAsia="黑体" w:cs="Times New Roman"/>
      <w:b/>
      <w:bCs/>
      <w:sz w:val="24"/>
      <w:szCs w:val="24"/>
    </w:rPr>
  </w:style>
  <w:style w:type="paragraph" w:styleId="1059" w:customStyle="1">
    <w:name w:val="标题 71"/>
    <w:basedOn w:val="791"/>
    <w:next w:val="791"/>
    <w:link w:val="1060"/>
    <w:uiPriority w:val="0"/>
    <w:qFormat/>
    <w:pPr>
      <w:numPr>
        <w:ilvl w:val="6"/>
        <w:numId w:val="1"/>
      </w:numPr>
      <w:keepLines/>
      <w:keepNext/>
      <w:spacing w:before="240" w:after="64" w:line="320" w:lineRule="auto"/>
      <w:outlineLvl w:val="6"/>
    </w:pPr>
    <w:rPr>
      <w:b/>
      <w:bCs/>
      <w:sz w:val="24"/>
      <w:szCs w:val="24"/>
      <w:lang w:eastAsia="en-US"/>
    </w:rPr>
  </w:style>
  <w:style w:type="character" w:styleId="1060" w:customStyle="1">
    <w:name w:val="标题 7 Char"/>
    <w:link w:val="1059"/>
    <w:uiPriority w:val="0"/>
    <w:qFormat/>
    <w:rPr>
      <w:rFonts w:ascii="Times New Roman" w:hAnsi="Times New Roman" w:eastAsia="宋体" w:cs="Times New Roman"/>
      <w:b/>
      <w:bCs/>
      <w:sz w:val="24"/>
      <w:szCs w:val="24"/>
    </w:rPr>
  </w:style>
  <w:style w:type="paragraph" w:styleId="1061" w:customStyle="1">
    <w:name w:val="标题 81"/>
    <w:basedOn w:val="791"/>
    <w:next w:val="791"/>
    <w:link w:val="106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2" w:customStyle="1">
    <w:name w:val="标题 8 Char"/>
    <w:link w:val="1061"/>
    <w:uiPriority w:val="0"/>
    <w:qFormat/>
    <w:rPr>
      <w:rFonts w:ascii="Arial" w:hAnsi="Arial" w:eastAsia="黑体" w:cs="Times New Roman"/>
      <w:sz w:val="24"/>
      <w:szCs w:val="24"/>
    </w:rPr>
  </w:style>
  <w:style w:type="paragraph" w:styleId="1063" w:customStyle="1">
    <w:name w:val="标题 91"/>
    <w:basedOn w:val="791"/>
    <w:next w:val="791"/>
    <w:link w:val="1064"/>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4" w:customStyle="1">
    <w:name w:val="标题 9 Char"/>
    <w:link w:val="1063"/>
    <w:uiPriority w:val="0"/>
    <w:qFormat/>
    <w:rPr>
      <w:rFonts w:ascii="Arial" w:hAnsi="Arial" w:eastAsia="黑体" w:cs="Times New Roman"/>
      <w:szCs w:val="21"/>
    </w:rPr>
  </w:style>
  <w:style w:type="character" w:styleId="1065" w:customStyle="1">
    <w:name w:val="默认段落字体1"/>
    <w:uiPriority w:val="1"/>
    <w:unhideWhenUsed/>
    <w:qFormat/>
  </w:style>
  <w:style w:type="table" w:styleId="1066" w:customStyle="1">
    <w:name w:val="普通表格1"/>
    <w:uiPriority w:val="99"/>
    <w:unhideWhenUsed/>
    <w:qFormat/>
    <w:tblPr>
      <w:tblCellMar>
        <w:left w:w="0" w:type="dxa"/>
        <w:top w:w="0" w:type="dxa"/>
        <w:right w:w="0" w:type="dxa"/>
        <w:bottom w:w="0" w:type="dxa"/>
      </w:tblCellMar>
    </w:tblPr>
  </w:style>
  <w:style w:type="paragraph" w:styleId="1067" w:customStyle="1">
    <w:name w:val="列表 31"/>
    <w:basedOn w:val="791"/>
    <w:uiPriority w:val="0"/>
    <w:qFormat/>
    <w:pPr>
      <w:ind w:left="100" w:hanging="200"/>
    </w:pPr>
    <w:rPr>
      <w:szCs w:val="21"/>
    </w:rPr>
  </w:style>
  <w:style w:type="paragraph" w:styleId="1068" w:customStyle="1">
    <w:name w:val="目录 71"/>
    <w:basedOn w:val="791"/>
    <w:next w:val="791"/>
    <w:uiPriority w:val="0"/>
    <w:semiHidden/>
    <w:qFormat/>
    <w:pPr>
      <w:ind w:left="1260"/>
      <w:jc w:val="left"/>
    </w:pPr>
    <w:rPr>
      <w:szCs w:val="21"/>
    </w:rPr>
  </w:style>
  <w:style w:type="paragraph" w:styleId="1069" w:customStyle="1">
    <w:name w:val="文档结构图1"/>
    <w:basedOn w:val="791"/>
    <w:link w:val="1070"/>
    <w:uiPriority w:val="0"/>
    <w:semiHidden/>
    <w:qFormat/>
    <w:pPr>
      <w:shd w:val="clear" w:color="auto" w:fill="000080"/>
    </w:pPr>
    <w:rPr>
      <w:sz w:val="20"/>
      <w:szCs w:val="21"/>
      <w:lang w:eastAsia="en-US"/>
    </w:rPr>
  </w:style>
  <w:style w:type="character" w:styleId="1070" w:customStyle="1">
    <w:name w:val="文档结构图 Char"/>
    <w:link w:val="1069"/>
    <w:uiPriority w:val="0"/>
    <w:semiHidden/>
    <w:qFormat/>
    <w:rPr>
      <w:rFonts w:ascii="Times New Roman" w:hAnsi="Times New Roman" w:eastAsia="宋体" w:cs="Times New Roman"/>
      <w:szCs w:val="21"/>
      <w:shd w:val="clear" w:color="auto" w:fill="000080"/>
    </w:rPr>
  </w:style>
  <w:style w:type="paragraph" w:styleId="1071" w:customStyle="1">
    <w:name w:val="批注文字1"/>
    <w:basedOn w:val="791"/>
    <w:link w:val="1072"/>
    <w:uiPriority w:val="99"/>
    <w:unhideWhenUsed/>
    <w:qFormat/>
    <w:pPr>
      <w:jc w:val="left"/>
    </w:pPr>
  </w:style>
  <w:style w:type="character" w:styleId="1072" w:customStyle="1">
    <w:name w:val="批注文字 Char"/>
    <w:link w:val="1071"/>
    <w:uiPriority w:val="99"/>
    <w:semiHidden/>
    <w:qFormat/>
  </w:style>
  <w:style w:type="paragraph" w:styleId="1073" w:customStyle="1">
    <w:name w:val="正文文本 31"/>
    <w:basedOn w:val="791"/>
    <w:link w:val="1074"/>
    <w:uiPriority w:val="0"/>
    <w:qFormat/>
    <w:rPr>
      <w:rFonts w:ascii="仿宋_GB2312" w:hAnsi="Arial" w:eastAsia="仿宋_GB2312"/>
      <w:sz w:val="32"/>
      <w:szCs w:val="32"/>
      <w:lang w:eastAsia="en-US"/>
    </w:rPr>
  </w:style>
  <w:style w:type="character" w:styleId="1074" w:customStyle="1">
    <w:name w:val="正文文本 3 Char"/>
    <w:link w:val="1073"/>
    <w:uiPriority w:val="0"/>
    <w:qFormat/>
    <w:rPr>
      <w:rFonts w:ascii="仿宋_GB2312" w:hAnsi="Arial" w:eastAsia="仿宋_GB2312" w:cs="Times New Roman"/>
      <w:sz w:val="32"/>
      <w:szCs w:val="32"/>
    </w:rPr>
  </w:style>
  <w:style w:type="paragraph" w:styleId="1075" w:customStyle="1">
    <w:name w:val="正文文本缩进1"/>
    <w:basedOn w:val="791"/>
    <w:link w:val="1076"/>
    <w:uiPriority w:val="99"/>
    <w:unhideWhenUsed/>
    <w:qFormat/>
    <w:pPr>
      <w:ind w:left="420"/>
      <w:spacing w:after="120"/>
    </w:pPr>
  </w:style>
  <w:style w:type="character" w:styleId="1076" w:customStyle="1">
    <w:name w:val="正文文本缩进 Char"/>
    <w:link w:val="1075"/>
    <w:uiPriority w:val="99"/>
    <w:semiHidden/>
    <w:qFormat/>
  </w:style>
  <w:style w:type="paragraph" w:styleId="1077" w:customStyle="1">
    <w:name w:val="列表 21"/>
    <w:basedOn w:val="791"/>
    <w:uiPriority w:val="0"/>
    <w:qFormat/>
    <w:pPr>
      <w:ind w:left="100" w:hanging="200"/>
    </w:pPr>
    <w:rPr>
      <w:szCs w:val="21"/>
    </w:rPr>
  </w:style>
  <w:style w:type="paragraph" w:styleId="1078" w:customStyle="1">
    <w:name w:val="目录 51"/>
    <w:basedOn w:val="791"/>
    <w:next w:val="791"/>
    <w:uiPriority w:val="0"/>
    <w:semiHidden/>
    <w:qFormat/>
    <w:pPr>
      <w:ind w:left="840"/>
      <w:jc w:val="left"/>
    </w:pPr>
    <w:rPr>
      <w:szCs w:val="21"/>
    </w:rPr>
  </w:style>
  <w:style w:type="paragraph" w:styleId="1079" w:customStyle="1">
    <w:name w:val="目录 31"/>
    <w:basedOn w:val="791"/>
    <w:next w:val="791"/>
    <w:uiPriority w:val="0"/>
    <w:semiHidden/>
    <w:qFormat/>
    <w:pPr>
      <w:ind w:left="420"/>
      <w:jc w:val="left"/>
    </w:pPr>
    <w:rPr>
      <w:i/>
      <w:iCs/>
      <w:szCs w:val="24"/>
    </w:rPr>
  </w:style>
  <w:style w:type="paragraph" w:styleId="1080" w:customStyle="1">
    <w:name w:val="纯文本1"/>
    <w:basedOn w:val="791"/>
    <w:link w:val="1081"/>
    <w:uiPriority w:val="0"/>
    <w:qFormat/>
    <w:rPr>
      <w:rFonts w:ascii="宋体" w:hAnsi="Courier New"/>
      <w:sz w:val="20"/>
      <w:szCs w:val="21"/>
      <w:lang w:eastAsia="en-US"/>
    </w:rPr>
  </w:style>
  <w:style w:type="character" w:styleId="1081" w:customStyle="1">
    <w:name w:val="纯文本 Char"/>
    <w:link w:val="1080"/>
    <w:uiPriority w:val="0"/>
    <w:qFormat/>
    <w:rPr>
      <w:rFonts w:ascii="宋体" w:hAnsi="Courier New" w:eastAsia="宋体" w:cs="Courier New"/>
      <w:szCs w:val="21"/>
    </w:rPr>
  </w:style>
  <w:style w:type="paragraph" w:styleId="1082" w:customStyle="1">
    <w:name w:val="目录 81"/>
    <w:basedOn w:val="791"/>
    <w:next w:val="791"/>
    <w:uiPriority w:val="0"/>
    <w:semiHidden/>
    <w:qFormat/>
    <w:pPr>
      <w:ind w:left="1470"/>
      <w:jc w:val="left"/>
    </w:pPr>
    <w:rPr>
      <w:szCs w:val="21"/>
    </w:rPr>
  </w:style>
  <w:style w:type="paragraph" w:styleId="1083" w:customStyle="1">
    <w:name w:val="日期1"/>
    <w:basedOn w:val="791"/>
    <w:next w:val="791"/>
    <w:link w:val="1084"/>
    <w:uiPriority w:val="0"/>
    <w:qFormat/>
    <w:rPr>
      <w:sz w:val="24"/>
      <w:szCs w:val="24"/>
      <w:lang w:eastAsia="en-US"/>
    </w:rPr>
  </w:style>
  <w:style w:type="character" w:styleId="1084" w:customStyle="1">
    <w:name w:val="日期 Char"/>
    <w:link w:val="1083"/>
    <w:uiPriority w:val="0"/>
    <w:qFormat/>
    <w:rPr>
      <w:rFonts w:ascii="Times New Roman" w:hAnsi="Times New Roman" w:eastAsia="宋体" w:cs="Times New Roman"/>
      <w:sz w:val="24"/>
      <w:szCs w:val="24"/>
    </w:rPr>
  </w:style>
  <w:style w:type="paragraph" w:styleId="1085" w:customStyle="1">
    <w:name w:val="正文文本缩进 21"/>
    <w:basedOn w:val="791"/>
    <w:link w:val="1086"/>
    <w:uiPriority w:val="0"/>
    <w:qFormat/>
    <w:pPr>
      <w:ind w:left="630" w:firstLine="645"/>
    </w:pPr>
    <w:rPr>
      <w:rFonts w:ascii="Arial" w:hAnsi="Arial" w:eastAsia="仿宋_GB2312"/>
      <w:sz w:val="32"/>
      <w:szCs w:val="32"/>
      <w:lang w:eastAsia="en-US"/>
    </w:rPr>
  </w:style>
  <w:style w:type="character" w:styleId="1086" w:customStyle="1">
    <w:name w:val="正文文本缩进 2 Char"/>
    <w:link w:val="1085"/>
    <w:uiPriority w:val="0"/>
    <w:qFormat/>
    <w:rPr>
      <w:rFonts w:ascii="Arial" w:hAnsi="Arial" w:eastAsia="仿宋_GB2312" w:cs="Arial"/>
      <w:sz w:val="32"/>
      <w:szCs w:val="32"/>
    </w:rPr>
  </w:style>
  <w:style w:type="paragraph" w:styleId="1087" w:customStyle="1">
    <w:name w:val="批注框文本1"/>
    <w:basedOn w:val="791"/>
    <w:link w:val="1088"/>
    <w:uiPriority w:val="0"/>
    <w:semiHidden/>
    <w:qFormat/>
    <w:rPr>
      <w:sz w:val="18"/>
      <w:szCs w:val="18"/>
      <w:lang w:eastAsia="en-US"/>
    </w:rPr>
  </w:style>
  <w:style w:type="character" w:styleId="1088" w:customStyle="1">
    <w:name w:val="批注框文本 Char"/>
    <w:link w:val="1087"/>
    <w:uiPriority w:val="0"/>
    <w:semiHidden/>
    <w:qFormat/>
    <w:rPr>
      <w:rFonts w:ascii="Times New Roman" w:hAnsi="Times New Roman" w:eastAsia="宋体" w:cs="Times New Roman"/>
      <w:sz w:val="18"/>
      <w:szCs w:val="18"/>
    </w:rPr>
  </w:style>
  <w:style w:type="paragraph" w:styleId="1089" w:customStyle="1">
    <w:name w:val="页脚1"/>
    <w:basedOn w:val="791"/>
    <w:link w:val="1090"/>
    <w:uiPriority w:val="0"/>
    <w:qFormat/>
    <w:pPr>
      <w:jc w:val="left"/>
      <w:tabs>
        <w:tab w:val="center" w:pos="4153" w:leader="none"/>
        <w:tab w:val="right" w:pos="8306" w:leader="none"/>
      </w:tabs>
    </w:pPr>
    <w:rPr>
      <w:sz w:val="18"/>
      <w:szCs w:val="18"/>
      <w:lang w:eastAsia="en-US"/>
    </w:rPr>
  </w:style>
  <w:style w:type="character" w:styleId="1090" w:customStyle="1">
    <w:name w:val="页脚 Char"/>
    <w:link w:val="1089"/>
    <w:uiPriority w:val="0"/>
    <w:qFormat/>
    <w:rPr>
      <w:rFonts w:ascii="Times New Roman" w:hAnsi="Times New Roman" w:eastAsia="宋体" w:cs="Times New Roman"/>
      <w:sz w:val="18"/>
      <w:szCs w:val="18"/>
    </w:rPr>
  </w:style>
  <w:style w:type="paragraph" w:styleId="1091" w:customStyle="1">
    <w:name w:val="页眉1"/>
    <w:basedOn w:val="791"/>
    <w:next w:val="791"/>
    <w:link w:val="109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2" w:customStyle="1">
    <w:name w:val="页眉 Char"/>
    <w:link w:val="1091"/>
    <w:uiPriority w:val="0"/>
    <w:qFormat/>
    <w:rPr>
      <w:rFonts w:ascii="Times New Roman" w:hAnsi="Times New Roman" w:eastAsia="宋体" w:cs="Times New Roman"/>
      <w:sz w:val="18"/>
      <w:szCs w:val="18"/>
    </w:rPr>
  </w:style>
  <w:style w:type="paragraph" w:styleId="1093" w:customStyle="1">
    <w:name w:val="目录 11"/>
    <w:basedOn w:val="791"/>
    <w:next w:val="791"/>
    <w:uiPriority w:val="0"/>
    <w:semiHidden/>
    <w:qFormat/>
    <w:pPr>
      <w:jc w:val="left"/>
      <w:spacing w:before="120" w:after="120" w:line="400" w:lineRule="exact"/>
      <w:tabs>
        <w:tab w:val="right" w:pos="8720" w:leader="dot"/>
      </w:tabs>
    </w:pPr>
    <w:rPr>
      <w:rFonts w:ascii="宋体" w:hAnsi="宋体"/>
      <w:caps/>
      <w:sz w:val="24"/>
      <w:szCs w:val="24"/>
    </w:rPr>
  </w:style>
  <w:style w:type="paragraph" w:styleId="1094" w:customStyle="1">
    <w:name w:val="目录 41"/>
    <w:basedOn w:val="791"/>
    <w:next w:val="791"/>
    <w:uiPriority w:val="0"/>
    <w:semiHidden/>
    <w:qFormat/>
    <w:pPr>
      <w:ind w:left="630"/>
      <w:jc w:val="left"/>
    </w:pPr>
    <w:rPr>
      <w:szCs w:val="21"/>
    </w:rPr>
  </w:style>
  <w:style w:type="paragraph" w:styleId="1095" w:customStyle="1">
    <w:name w:val="列表1"/>
    <w:basedOn w:val="791"/>
    <w:uiPriority w:val="0"/>
    <w:qFormat/>
    <w:pPr>
      <w:ind w:left="200" w:hanging="200"/>
    </w:pPr>
    <w:rPr>
      <w:szCs w:val="21"/>
    </w:rPr>
  </w:style>
  <w:style w:type="paragraph" w:styleId="1096" w:customStyle="1">
    <w:name w:val="目录 61"/>
    <w:basedOn w:val="791"/>
    <w:next w:val="791"/>
    <w:uiPriority w:val="0"/>
    <w:semiHidden/>
    <w:qFormat/>
    <w:pPr>
      <w:ind w:left="1050"/>
      <w:jc w:val="left"/>
    </w:pPr>
    <w:rPr>
      <w:szCs w:val="21"/>
    </w:rPr>
  </w:style>
  <w:style w:type="paragraph" w:styleId="1097" w:customStyle="1">
    <w:name w:val="正文文本缩进 31"/>
    <w:basedOn w:val="791"/>
    <w:link w:val="1098"/>
    <w:uiPriority w:val="0"/>
    <w:qFormat/>
    <w:pPr>
      <w:ind w:left="645" w:firstLine="645"/>
    </w:pPr>
    <w:rPr>
      <w:rFonts w:ascii="Arial" w:hAnsi="Arial" w:eastAsia="仿宋_GB2312"/>
      <w:color w:val="ffff00"/>
      <w:sz w:val="32"/>
      <w:szCs w:val="32"/>
      <w:lang w:eastAsia="en-US"/>
    </w:rPr>
  </w:style>
  <w:style w:type="character" w:styleId="1098" w:customStyle="1">
    <w:name w:val="正文文本缩进 3 Char"/>
    <w:link w:val="1097"/>
    <w:uiPriority w:val="0"/>
    <w:qFormat/>
    <w:rPr>
      <w:rFonts w:ascii="Arial" w:hAnsi="Arial" w:eastAsia="仿宋_GB2312" w:cs="Arial"/>
      <w:color w:val="ffff00"/>
      <w:sz w:val="32"/>
      <w:szCs w:val="32"/>
    </w:rPr>
  </w:style>
  <w:style w:type="paragraph" w:styleId="1099" w:customStyle="1">
    <w:name w:val="图表目录1"/>
    <w:basedOn w:val="791"/>
    <w:next w:val="791"/>
    <w:uiPriority w:val="0"/>
    <w:semiHidden/>
    <w:qFormat/>
    <w:pPr>
      <w:ind w:left="840" w:hanging="420"/>
    </w:pPr>
    <w:rPr>
      <w:szCs w:val="21"/>
    </w:rPr>
  </w:style>
  <w:style w:type="paragraph" w:styleId="1100" w:customStyle="1">
    <w:name w:val="目录 21"/>
    <w:basedOn w:val="791"/>
    <w:next w:val="791"/>
    <w:uiPriority w:val="0"/>
    <w:semiHidden/>
    <w:qFormat/>
    <w:pPr>
      <w:ind w:left="210"/>
      <w:jc w:val="left"/>
    </w:pPr>
    <w:rPr>
      <w:smallCaps/>
      <w:szCs w:val="24"/>
    </w:rPr>
  </w:style>
  <w:style w:type="paragraph" w:styleId="1101" w:customStyle="1">
    <w:name w:val="目录 91"/>
    <w:basedOn w:val="791"/>
    <w:next w:val="791"/>
    <w:uiPriority w:val="0"/>
    <w:semiHidden/>
    <w:qFormat/>
    <w:pPr>
      <w:ind w:left="1680"/>
      <w:jc w:val="left"/>
    </w:pPr>
    <w:rPr>
      <w:szCs w:val="21"/>
    </w:rPr>
  </w:style>
  <w:style w:type="paragraph" w:styleId="1102" w:customStyle="1">
    <w:name w:val="正文文本 21"/>
    <w:basedOn w:val="791"/>
    <w:link w:val="1103"/>
    <w:uiPriority w:val="0"/>
    <w:qFormat/>
    <w:pPr>
      <w:jc w:val="center"/>
      <w:widowControl/>
    </w:pPr>
    <w:rPr>
      <w:rFonts w:ascii="楷体_GB2312" w:eastAsia="楷体_GB2312"/>
      <w:sz w:val="28"/>
      <w:szCs w:val="28"/>
      <w:lang w:eastAsia="en-US"/>
    </w:rPr>
  </w:style>
  <w:style w:type="character" w:styleId="1103" w:customStyle="1">
    <w:name w:val="正文文本 2 Char"/>
    <w:link w:val="1102"/>
    <w:uiPriority w:val="0"/>
    <w:qFormat/>
    <w:rPr>
      <w:rFonts w:ascii="楷体_GB2312" w:hAnsi="Times New Roman" w:eastAsia="楷体_GB2312" w:cs="Times New Roman"/>
      <w:sz w:val="28"/>
      <w:szCs w:val="28"/>
    </w:rPr>
  </w:style>
  <w:style w:type="paragraph" w:styleId="1104" w:customStyle="1">
    <w:name w:val="普通(网站)1"/>
    <w:basedOn w:val="791"/>
    <w:uiPriority w:val="99"/>
    <w:qFormat/>
    <w:pPr>
      <w:jc w:val="left"/>
      <w:spacing w:before="100" w:beforeAutospacing="1" w:after="100" w:afterAutospacing="1"/>
      <w:widowControl/>
    </w:pPr>
    <w:rPr>
      <w:rFonts w:ascii="宋体" w:hAnsi="宋体" w:cs="宋体"/>
      <w:sz w:val="24"/>
      <w:szCs w:val="24"/>
    </w:rPr>
  </w:style>
  <w:style w:type="paragraph" w:styleId="1105" w:customStyle="1">
    <w:name w:val="索引 11"/>
    <w:basedOn w:val="791"/>
    <w:next w:val="791"/>
    <w:uiPriority w:val="0"/>
    <w:semiHidden/>
    <w:qFormat/>
    <w:pPr>
      <w:spacing w:line="240" w:lineRule="atLeast"/>
    </w:pPr>
    <w:rPr>
      <w:b/>
      <w:bCs/>
      <w:szCs w:val="21"/>
    </w:rPr>
  </w:style>
  <w:style w:type="paragraph" w:styleId="1106" w:customStyle="1">
    <w:name w:val="批注主题1"/>
    <w:basedOn w:val="1071"/>
    <w:next w:val="1071"/>
    <w:link w:val="1107"/>
    <w:uiPriority w:val="0"/>
    <w:semiHidden/>
    <w:qFormat/>
    <w:rPr>
      <w:b/>
      <w:bCs/>
      <w:sz w:val="20"/>
      <w:szCs w:val="21"/>
      <w:lang w:eastAsia="en-US"/>
    </w:rPr>
  </w:style>
  <w:style w:type="character" w:styleId="1107" w:customStyle="1">
    <w:name w:val="批注主题 Char"/>
    <w:link w:val="1106"/>
    <w:uiPriority w:val="0"/>
    <w:semiHidden/>
    <w:qFormat/>
    <w:rPr>
      <w:rFonts w:ascii="Times New Roman" w:hAnsi="Times New Roman" w:eastAsia="宋体" w:cs="Times New Roman"/>
      <w:b/>
      <w:bCs/>
      <w:szCs w:val="21"/>
    </w:rPr>
  </w:style>
  <w:style w:type="paragraph" w:styleId="1108" w:customStyle="1">
    <w:name w:val="正文首行缩进 21"/>
    <w:basedOn w:val="1075"/>
    <w:link w:val="1109"/>
    <w:uiPriority w:val="0"/>
    <w:qFormat/>
    <w:pPr>
      <w:ind w:left="0" w:firstLine="420"/>
      <w:spacing w:after="0" w:line="360" w:lineRule="auto"/>
    </w:pPr>
    <w:rPr>
      <w:rFonts w:ascii="宋体" w:hAnsi="宋体"/>
      <w:sz w:val="20"/>
      <w:szCs w:val="20"/>
      <w:lang w:eastAsia="en-US"/>
    </w:rPr>
  </w:style>
  <w:style w:type="character" w:styleId="1109" w:customStyle="1">
    <w:name w:val="正文首行缩进 2 Char"/>
    <w:link w:val="1108"/>
    <w:uiPriority w:val="0"/>
    <w:qFormat/>
    <w:rPr>
      <w:rFonts w:ascii="宋体" w:hAnsi="宋体" w:eastAsia="宋体" w:cs="Times New Roman"/>
      <w:szCs w:val="20"/>
    </w:rPr>
  </w:style>
  <w:style w:type="table" w:styleId="1110" w:customStyle="1">
    <w:name w:val="网格型1"/>
    <w:basedOn w:val="1066"/>
    <w:uiPriority w:val="0"/>
    <w:qFormat/>
    <w:pPr>
      <w:jc w:val="both"/>
      <w:widowControl w:val="off"/>
    </w:pPr>
    <w:tblPr/>
  </w:style>
  <w:style w:type="character" w:styleId="1111" w:customStyle="1">
    <w:name w:val="要点1"/>
    <w:uiPriority w:val="0"/>
    <w:qFormat/>
    <w:rPr>
      <w:b/>
      <w:bCs/>
    </w:rPr>
  </w:style>
  <w:style w:type="character" w:styleId="1112" w:customStyle="1">
    <w:name w:val="页码1"/>
    <w:uiPriority w:val="0"/>
    <w:qFormat/>
  </w:style>
  <w:style w:type="character" w:styleId="1113" w:customStyle="1">
    <w:name w:val="已访问的超链接1"/>
    <w:uiPriority w:val="0"/>
    <w:qFormat/>
    <w:rPr>
      <w:color w:val="800080"/>
      <w:u w:val="single"/>
    </w:rPr>
  </w:style>
  <w:style w:type="character" w:styleId="1114" w:customStyle="1">
    <w:name w:val="超链接11"/>
    <w:uiPriority w:val="0"/>
    <w:qFormat/>
    <w:rPr>
      <w:color w:val="0000ff"/>
      <w:u w:val="single"/>
    </w:rPr>
  </w:style>
  <w:style w:type="character" w:styleId="1115" w:customStyle="1">
    <w:name w:val="批注引用1"/>
    <w:uiPriority w:val="0"/>
    <w:semiHidden/>
    <w:qFormat/>
    <w:rPr>
      <w:sz w:val="21"/>
      <w:szCs w:val="21"/>
    </w:rPr>
  </w:style>
  <w:style w:type="character" w:styleId="1116" w:customStyle="1">
    <w:name w:val="font5 Char"/>
    <w:uiPriority w:val="0"/>
    <w:qFormat/>
    <w:rPr>
      <w:rFonts w:ascii="宋体" w:hAnsi="宋体" w:eastAsia="宋体"/>
      <w:sz w:val="28"/>
      <w:szCs w:val="28"/>
      <w:lang w:val="en-US" w:eastAsia="zh-CN" w:bidi="ar-SA"/>
    </w:rPr>
  </w:style>
  <w:style w:type="character" w:styleId="1117" w:customStyle="1">
    <w:name w:val="二级目录 Char"/>
    <w:link w:val="1118"/>
    <w:uiPriority w:val="0"/>
    <w:qFormat/>
    <w:rPr>
      <w:b/>
      <w:sz w:val="30"/>
      <w:szCs w:val="28"/>
      <w:lang w:val="en-US" w:eastAsia="zh-CN" w:bidi="ar-SA"/>
    </w:rPr>
  </w:style>
  <w:style w:type="paragraph" w:styleId="1118" w:customStyle="1">
    <w:name w:val="二级目录"/>
    <w:next w:val="791"/>
    <w:link w:val="1117"/>
    <w:uiPriority w:val="0"/>
    <w:qFormat/>
    <w:pPr>
      <w:numPr>
        <w:ilvl w:val="0"/>
        <w:numId w:val="2"/>
      </w:numPr>
      <w:spacing w:after="160" w:line="278" w:lineRule="auto"/>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9" w:customStyle="1">
    <w:name w:val="列出段落 Char"/>
    <w:link w:val="1120"/>
    <w:uiPriority w:val="0"/>
    <w:qFormat/>
    <w:rPr>
      <w:rFonts w:ascii="Calibri" w:hAnsi="Calibri"/>
      <w:sz w:val="24"/>
      <w:szCs w:val="24"/>
      <w:lang w:eastAsia="en-US" w:bidi="en-US"/>
    </w:rPr>
  </w:style>
  <w:style w:type="paragraph" w:styleId="1120" w:customStyle="1">
    <w:name w:val="列出段落1"/>
    <w:basedOn w:val="791"/>
    <w:link w:val="1119"/>
    <w:uiPriority w:val="0"/>
    <w:qFormat/>
    <w:pPr>
      <w:contextualSpacing/>
      <w:ind w:left="720"/>
      <w:jc w:val="left"/>
      <w:widowControl/>
    </w:pPr>
    <w:rPr>
      <w:rFonts w:ascii="Calibri" w:hAnsi="Calibri"/>
      <w:sz w:val="24"/>
      <w:szCs w:val="24"/>
      <w:lang w:eastAsia="en-US" w:bidi="en-US"/>
    </w:rPr>
  </w:style>
  <w:style w:type="paragraph" w:styleId="1121" w:customStyle="1">
    <w:name w:val="Body Text(ch)"/>
    <w:basedOn w:val="791"/>
    <w:next w:val="928"/>
    <w:uiPriority w:val="0"/>
    <w:qFormat/>
    <w:pPr>
      <w:spacing w:after="120"/>
    </w:pPr>
    <w:rPr>
      <w:rFonts w:ascii="宋体" w:hAnsi="Arial"/>
      <w:bCs/>
      <w:iCs/>
      <w:szCs w:val="24"/>
    </w:rPr>
  </w:style>
  <w:style w:type="paragraph" w:styleId="1122" w:customStyle="1">
    <w:name w:val="xl27"/>
    <w:basedOn w:val="7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customStyle="1">
    <w:name w:val="xl26"/>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4" w:customStyle="1">
    <w:name w:val="Char"/>
    <w:basedOn w:val="791"/>
    <w:uiPriority w:val="0"/>
    <w:qFormat/>
    <w:pPr>
      <w:ind w:firstLine="200"/>
      <w:tabs>
        <w:tab w:val="left" w:pos="360" w:leader="none"/>
      </w:tabs>
    </w:pPr>
    <w:rPr>
      <w:sz w:val="28"/>
      <w:szCs w:val="30"/>
    </w:rPr>
  </w:style>
  <w:style w:type="paragraph" w:styleId="1125" w:customStyle="1">
    <w:name w:val="Char1"/>
    <w:basedOn w:val="1069"/>
    <w:uiPriority w:val="0"/>
    <w:qFormat/>
    <w:rPr>
      <w:rFonts w:ascii="Tahoma" w:hAnsi="Tahoma"/>
      <w:sz w:val="24"/>
      <w:szCs w:val="24"/>
    </w:rPr>
  </w:style>
  <w:style w:type="paragraph" w:styleId="1126" w:customStyle="1">
    <w:name w:val="普通正文"/>
    <w:basedOn w:val="791"/>
    <w:uiPriority w:val="0"/>
    <w:qFormat/>
    <w:pPr>
      <w:ind w:firstLine="480"/>
      <w:jc w:val="left"/>
      <w:spacing w:before="120" w:after="120" w:line="360" w:lineRule="auto"/>
    </w:pPr>
    <w:rPr>
      <w:rFonts w:ascii="Arial" w:hAnsi="Arial"/>
      <w:sz w:val="24"/>
      <w:szCs w:val="24"/>
    </w:rPr>
  </w:style>
  <w:style w:type="paragraph" w:styleId="1127" w:customStyle="1">
    <w:name w:val="table_lines"/>
    <w:basedOn w:val="791"/>
    <w:uiPriority w:val="0"/>
    <w:qFormat/>
    <w:pPr>
      <w:jc w:val="left"/>
      <w:widowControl/>
    </w:pPr>
    <w:rPr>
      <w:sz w:val="20"/>
      <w:szCs w:val="20"/>
      <w:lang w:val="de-DE" w:eastAsia="de-DE"/>
    </w:rPr>
  </w:style>
  <w:style w:type="paragraph" w:styleId="1128" w:customStyle="1">
    <w:name w:val="附录1"/>
    <w:uiPriority w:val="0"/>
    <w:qFormat/>
    <w:pPr>
      <w:ind w:left="907" w:hanging="907"/>
      <w:spacing w:before="240" w:after="16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29" w:customStyle="1">
    <w:name w:val="font7"/>
    <w:basedOn w:val="791"/>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Char Char Char Char"/>
    <w:basedOn w:val="1069"/>
    <w:uiPriority w:val="0"/>
    <w:qFormat/>
    <w:pPr>
      <w:spacing w:line="360" w:lineRule="auto"/>
    </w:pPr>
    <w:rPr>
      <w:rFonts w:ascii="Tahoma" w:hAnsi="Tahoma"/>
      <w:sz w:val="24"/>
      <w:szCs w:val="24"/>
    </w:rPr>
  </w:style>
  <w:style w:type="paragraph" w:styleId="1131" w:customStyle="1">
    <w:name w:val="列出段落"/>
    <w:basedOn w:val="791"/>
    <w:uiPriority w:val="34"/>
    <w:qFormat/>
    <w:pPr>
      <w:contextualSpacing/>
      <w:ind w:left="720"/>
      <w:jc w:val="left"/>
      <w:widowControl/>
    </w:pPr>
    <w:rPr>
      <w:rFonts w:ascii="Calibri" w:hAnsi="Calibri"/>
      <w:sz w:val="24"/>
      <w:szCs w:val="24"/>
      <w:lang w:eastAsia="en-US" w:bidi="en-US"/>
    </w:rPr>
  </w:style>
  <w:style w:type="paragraph" w:styleId="1132" w:customStyle="1">
    <w:name w:val="4"/>
    <w:basedOn w:val="791"/>
    <w:next w:val="1097"/>
    <w:uiPriority w:val="0"/>
    <w:qFormat/>
    <w:pPr>
      <w:ind w:firstLine="420"/>
      <w:spacing w:line="360" w:lineRule="auto"/>
    </w:pPr>
    <w:rPr>
      <w:color w:val="ff0000"/>
      <w:sz w:val="24"/>
      <w:szCs w:val="24"/>
    </w:rPr>
  </w:style>
  <w:style w:type="paragraph" w:styleId="1133" w:customStyle="1">
    <w:name w:val="普通 (Web)"/>
    <w:basedOn w:val="791"/>
    <w:uiPriority w:val="0"/>
    <w:qFormat/>
    <w:pPr>
      <w:jc w:val="left"/>
      <w:spacing w:before="100" w:beforeAutospacing="1" w:after="100" w:afterAutospacing="1"/>
      <w:widowControl/>
    </w:pPr>
    <w:rPr>
      <w:rFonts w:ascii="宋体" w:hAnsi="宋体"/>
      <w:sz w:val="24"/>
      <w:szCs w:val="24"/>
    </w:rPr>
  </w:style>
  <w:style w:type="paragraph" w:styleId="1134" w:customStyle="1">
    <w:name w:val="Char Char Char Char Char Char Char Char Char Char"/>
    <w:basedOn w:val="791"/>
    <w:uiPriority w:val="0"/>
    <w:qFormat/>
    <w:pPr>
      <w:spacing w:line="360" w:lineRule="auto"/>
    </w:pPr>
    <w:rPr>
      <w:sz w:val="24"/>
      <w:szCs w:val="20"/>
    </w:rPr>
  </w:style>
  <w:style w:type="paragraph" w:styleId="1135" w:customStyle="1">
    <w:name w:val="样式1"/>
    <w:basedOn w:val="791"/>
    <w:uiPriority w:val="0"/>
    <w:qFormat/>
    <w:pPr>
      <w:numPr>
        <w:ilvl w:val="0"/>
        <w:numId w:val="3"/>
      </w:numPr>
    </w:pPr>
    <w:rPr>
      <w:rFonts w:ascii="宋体" w:hAnsi="宋体"/>
      <w:szCs w:val="21"/>
    </w:rPr>
  </w:style>
  <w:style w:type="paragraph" w:styleId="1136" w:customStyle="1">
    <w:name w:val="font6"/>
    <w:basedOn w:val="791"/>
    <w:uiPriority w:val="0"/>
    <w:qFormat/>
    <w:pPr>
      <w:jc w:val="left"/>
      <w:spacing w:before="100" w:beforeAutospacing="1" w:after="100" w:afterAutospacing="1"/>
      <w:widowControl/>
    </w:pPr>
    <w:rPr>
      <w:rFonts w:hint="eastAsia" w:ascii="宋体" w:hAnsi="宋体"/>
      <w:sz w:val="28"/>
      <w:szCs w:val="28"/>
      <w:u w:val="single"/>
    </w:rPr>
  </w:style>
  <w:style w:type="paragraph" w:styleId="1137" w:customStyle="1">
    <w:name w:val="xl25"/>
    <w:basedOn w:val="79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8" w:customStyle="1">
    <w:name w:val="图标"/>
    <w:basedOn w:val="791"/>
    <w:next w:val="79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9" w:customStyle="1">
    <w:name w:val="标题3"/>
    <w:basedOn w:val="791"/>
    <w:next w:val="791"/>
    <w:uiPriority w:val="0"/>
    <w:qFormat/>
    <w:pPr>
      <w:ind w:firstLine="624"/>
      <w:spacing w:line="590" w:lineRule="atLeast"/>
    </w:pPr>
    <w:rPr>
      <w:rFonts w:ascii="方正黑体_GBK" w:eastAsia="方正黑体_GBK"/>
      <w:sz w:val="32"/>
      <w:szCs w:val="32"/>
    </w:rPr>
  </w:style>
  <w:style w:type="paragraph" w:styleId="1140" w:customStyle="1">
    <w:name w:val="xl24"/>
    <w:basedOn w:val="7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1" w:customStyle="1">
    <w:name w:val="xl29"/>
    <w:basedOn w:val="79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2" w:customStyle="1">
    <w:name w:val="Char Char Char Char Char Char Char Char"/>
    <w:basedOn w:val="791"/>
    <w:uiPriority w:val="0"/>
    <w:qFormat/>
    <w:pPr>
      <w:jc w:val="left"/>
      <w:spacing w:line="240" w:lineRule="exact"/>
      <w:widowControl/>
    </w:pPr>
    <w:rPr>
      <w:rFonts w:ascii="Verdana" w:hAnsi="Verdana"/>
      <w:sz w:val="20"/>
      <w:szCs w:val="20"/>
      <w:lang w:eastAsia="en-US"/>
    </w:rPr>
  </w:style>
  <w:style w:type="paragraph" w:styleId="1143" w:customStyle="1">
    <w:name w:val="xl28"/>
    <w:basedOn w:val="79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4" w:customStyle="1">
    <w:name w:val="Char Char Char Char Char Char Char Char1"/>
    <w:basedOn w:val="791"/>
    <w:uiPriority w:val="0"/>
    <w:qFormat/>
    <w:pPr>
      <w:jc w:val="left"/>
      <w:spacing w:line="240" w:lineRule="exact"/>
      <w:widowControl/>
    </w:pPr>
    <w:rPr>
      <w:rFonts w:ascii="Verdana" w:hAnsi="Verdana"/>
      <w:sz w:val="20"/>
      <w:szCs w:val="20"/>
      <w:lang w:eastAsia="en-US"/>
    </w:rPr>
  </w:style>
  <w:style w:type="paragraph" w:styleId="1145" w:customStyle="1">
    <w:name w:val="xl30"/>
    <w:basedOn w:val="791"/>
    <w:uiPriority w:val="0"/>
    <w:qFormat/>
    <w:pPr>
      <w:jc w:val="center"/>
      <w:spacing w:before="100" w:beforeAutospacing="1" w:after="100" w:afterAutospacing="1"/>
      <w:widowControl/>
    </w:pPr>
    <w:rPr>
      <w:rFonts w:ascii="宋体" w:hAnsi="宋体"/>
      <w:b/>
      <w:bCs/>
      <w:sz w:val="36"/>
      <w:szCs w:val="36"/>
    </w:rPr>
  </w:style>
  <w:style w:type="paragraph" w:styleId="1146" w:customStyle="1">
    <w:name w:val="Char Char Char Char1"/>
    <w:basedOn w:val="1069"/>
    <w:uiPriority w:val="0"/>
    <w:qFormat/>
    <w:pPr>
      <w:spacing w:line="360" w:lineRule="auto"/>
    </w:pPr>
    <w:rPr>
      <w:rFonts w:ascii="Tahoma" w:hAnsi="Tahoma"/>
      <w:sz w:val="24"/>
      <w:szCs w:val="24"/>
    </w:rPr>
  </w:style>
  <w:style w:type="paragraph" w:styleId="1147" w:customStyle="1">
    <w:name w:val="table_1stline"/>
    <w:basedOn w:val="791"/>
    <w:uiPriority w:val="0"/>
    <w:qFormat/>
    <w:pPr>
      <w:jc w:val="left"/>
      <w:spacing w:before="120"/>
      <w:widowControl/>
    </w:pPr>
    <w:rPr>
      <w:bCs/>
      <w:sz w:val="20"/>
      <w:szCs w:val="20"/>
      <w:lang w:val="de-DE" w:eastAsia="de-DE"/>
    </w:rPr>
  </w:style>
  <w:style w:type="paragraph" w:styleId="1148" w:customStyle="1">
    <w:name w:val="font5"/>
    <w:basedOn w:val="791"/>
    <w:uiPriority w:val="0"/>
    <w:qFormat/>
    <w:pPr>
      <w:jc w:val="left"/>
      <w:spacing w:before="100" w:beforeAutospacing="1" w:after="100" w:afterAutospacing="1"/>
      <w:widowControl/>
    </w:pPr>
    <w:rPr>
      <w:rFonts w:hint="eastAsia" w:ascii="宋体" w:hAnsi="宋体"/>
      <w:sz w:val="28"/>
      <w:szCs w:val="28"/>
    </w:rPr>
  </w:style>
  <w:style w:type="paragraph" w:styleId="1149" w:customStyle="1">
    <w:name w:val="标题1"/>
    <w:basedOn w:val="791"/>
    <w:next w:val="79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0" w:customStyle="1">
    <w:name w:val="修订1"/>
    <w:uiPriority w:val="99"/>
    <w:semiHidden/>
    <w:qFormat/>
    <w:pPr>
      <w:spacing w:after="160" w:line="278" w:lineRule="auto"/>
    </w:pPr>
    <w:rPr>
      <w:rFonts w:hint="default" w:ascii="Times New Roman" w:hAnsi="Times New Roman" w:eastAsia="宋体" w:cs="Times New Roman"/>
      <w:sz w:val="21"/>
      <w:szCs w:val="21"/>
      <w:lang w:val="en-US" w:eastAsia="zh-CN" w:bidi="ar-SA"/>
    </w:rPr>
  </w:style>
  <w:style w:type="paragraph" w:styleId="1151" w:customStyle="1">
    <w:name w:val="无间隔1"/>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152" w:customStyle="1">
    <w:name w:val="引文目录标题1"/>
    <w:basedOn w:val="791"/>
    <w:next w:val="791"/>
    <w:uiPriority w:val="0"/>
    <w:qFormat/>
    <w:pPr>
      <w:spacing w:before="120"/>
    </w:pPr>
    <w:rPr>
      <w:rFonts w:ascii="Arial" w:hAnsi="Arial"/>
      <w:sz w:val="24"/>
    </w:rPr>
  </w:style>
  <w:style w:type="paragraph" w:styleId="1153" w:customStyle="1">
    <w:name w:val="段"/>
    <w:next w:val="791"/>
    <w:uiPriority w:val="0"/>
    <w:qFormat/>
    <w:pPr>
      <w:ind w:firstLine="200"/>
      <w:jc w:val="both"/>
      <w:spacing w:after="160" w:line="278" w:lineRule="auto"/>
    </w:pPr>
    <w:rPr>
      <w:rFonts w:hint="default" w:ascii="宋体" w:hAnsi="Times New Roman" w:eastAsia="Times New Roman" w:cs="Times New Roman"/>
      <w:sz w:val="21"/>
      <w:lang w:val="en-US" w:eastAsia="zh-CN" w:bidi="ar-SA"/>
    </w:rPr>
  </w:style>
  <w:style w:type="paragraph" w:styleId="1154" w:customStyle="1">
    <w:name w:val="正文首行缩进1"/>
    <w:basedOn w:val="878"/>
    <w:uiPriority w:val="0"/>
    <w:qFormat/>
    <w:pPr>
      <w:ind w:firstLine="200"/>
      <w:spacing w:line="360" w:lineRule="auto"/>
    </w:pPr>
    <w:rPr>
      <w:rFonts w:ascii="仿宋_GB2312" w:hAnsi="Times New Roman" w:eastAsia="仿宋_GB2312"/>
      <w:sz w:val="30"/>
      <w:szCs w:val="30"/>
    </w:rPr>
  </w:style>
  <w:style w:type="paragraph" w:styleId="1155" w:customStyle="1">
    <w:name w:val="正文缩进2格"/>
    <w:basedOn w:val="791"/>
    <w:uiPriority w:val="0"/>
    <w:qFormat/>
    <w:pPr>
      <w:ind w:firstLine="639"/>
      <w:spacing w:line="600" w:lineRule="exact"/>
    </w:pPr>
    <w:rPr>
      <w:rFonts w:ascii="仿宋_GB2312" w:hAnsi="宋体" w:eastAsia="仿宋_GB2312"/>
      <w:sz w:val="31"/>
      <w:szCs w:val="28"/>
      <w:lang w:eastAsia="en-US"/>
    </w:rPr>
  </w:style>
  <w:style w:type="paragraph" w:styleId="1156"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157" w:customStyle="1">
    <w:name w:val="普通(网站) Char"/>
    <w:basedOn w:val="791"/>
    <w:uiPriority w:val="0"/>
    <w:qFormat/>
    <w:pPr>
      <w:jc w:val="left"/>
      <w:spacing w:before="100" w:beforeAutospacing="1" w:after="100" w:afterAutospacing="1"/>
      <w:widowControl/>
    </w:pPr>
    <w:rPr>
      <w:rFonts w:ascii="宋体" w:hAnsi="宋体" w:cs="宋体"/>
      <w:sz w:val="24"/>
      <w:szCs w:val="24"/>
    </w:rPr>
  </w:style>
  <w:style w:type="paragraph" w:styleId="1158" w:customStyle="1">
    <w:name w:val="普通(网站) Char Char"/>
    <w:basedOn w:val="791"/>
    <w:uiPriority w:val="0"/>
    <w:qFormat/>
    <w:pPr>
      <w:jc w:val="left"/>
      <w:spacing w:before="100" w:beforeAutospacing="1" w:after="100" w:afterAutospacing="1"/>
      <w:widowControl/>
    </w:pPr>
    <w:rPr>
      <w:rFonts w:hint="eastAsia" w:ascii="宋体" w:hAnsi="宋体"/>
      <w:sz w:val="24"/>
      <w:szCs w:val="24"/>
    </w:rPr>
  </w:style>
  <w:style w:type="paragraph" w:styleId="1159" w:customStyle="1">
    <w:name w:val="正文文本2"/>
    <w:basedOn w:val="791"/>
    <w:next w:val="791"/>
    <w:uiPriority w:val="0"/>
    <w:qFormat/>
    <w:rPr>
      <w:rFonts w:ascii="楷体_GB2312" w:hAnsi="Arial" w:eastAsia="楷体_GB2312"/>
      <w:sz w:val="28"/>
      <w:szCs w:val="28"/>
    </w:rPr>
  </w:style>
  <w:style w:type="paragraph" w:styleId="1160" w:customStyle="1">
    <w:name w:val="寄信人地址1"/>
    <w:basedOn w:val="791"/>
    <w:uiPriority w:val="99"/>
    <w:qFormat/>
    <w:rPr>
      <w:rFonts w:ascii="Arial" w:hAnsi="Arial"/>
    </w:rPr>
  </w:style>
  <w:style w:type="paragraph" w:styleId="1161" w:customStyle="1">
    <w:name w:val="Default"/>
    <w:uiPriority w:val="99"/>
    <w:qFormat/>
    <w:pPr>
      <w:spacing w:after="160" w:line="278" w:lineRule="auto"/>
      <w:widowControl w:val="off"/>
    </w:pPr>
    <w:rPr>
      <w:rFonts w:hint="default" w:ascii="宋体" w:hAnsi="Tahoma" w:eastAsia="宋体" w:cs="宋体"/>
      <w:b/>
      <w:bCs/>
      <w:color w:val="000000"/>
      <w:sz w:val="24"/>
      <w:szCs w:val="24"/>
      <w:lang w:val="en-US" w:eastAsia="zh-CN" w:bidi="ar-SA"/>
    </w:rPr>
  </w:style>
  <w:style w:type="paragraph" w:styleId="1162" w:customStyle="1">
    <w:name w:val="HTML 预设格式1"/>
    <w:basedOn w:val="791"/>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3" w:customStyle="1">
    <w:name w:val="纯文本11"/>
    <w:basedOn w:val="791"/>
    <w:uiPriority w:val="0"/>
    <w:qFormat/>
    <w:rPr>
      <w:rFonts w:ascii="宋体" w:hAnsi="Courier New" w:cs="Courier New"/>
      <w:szCs w:val="21"/>
    </w:rPr>
  </w:style>
  <w:style w:type="paragraph" w:styleId="1164" w:customStyle="1">
    <w:name w:val="标题 22"/>
    <w:basedOn w:val="791"/>
    <w:next w:val="791"/>
    <w:uiPriority w:val="9"/>
    <w:unhideWhenUsed/>
    <w:qFormat/>
    <w:pPr>
      <w:keepLines/>
      <w:keepNext/>
      <w:spacing w:before="360" w:after="200"/>
      <w:outlineLvl w:val="1"/>
    </w:pPr>
    <w:rPr>
      <w:rFonts w:ascii="Arial" w:hAnsi="Arial" w:eastAsia="Arial"/>
      <w:sz w:val="34"/>
      <w:szCs w:val="20"/>
      <w:lang w:eastAsia="en-US"/>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 Id="rId25" Type="http://schemas.openxmlformats.org/officeDocument/2006/relationships/image" Target="media/image10.jpg"/><Relationship Id="rId26"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268</cp:revision>
  <dcterms:created xsi:type="dcterms:W3CDTF">2023-12-25T07:48:00Z</dcterms:created>
  <dcterms:modified xsi:type="dcterms:W3CDTF">2025-12-04T07:17:16Z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1F9CE542527B4F61AB3B5CCD2D34183B</vt:lpwstr>
  </property>
  <property fmtid="{D5CDD505-2E9C-101B-9397-08002B2CF9AE}" pid="4" name="KSOTemplateDocerSaveRecord">
    <vt:lpwstr>eyJoZGlkIjoiZGQyOWRkNjRmMjhiODU3Y2IzZjE1ZGIyMjc1MWYzNzgiLCJ1c2VySWQiOiIxNjcyMDA1Mzg3In0=</vt:lpwstr>
  </property>
</Properties>
</file>